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PE.2012.0288 vom 12. Juli 2013</w:t>
      </w:r>
    </w:p>
    <w:p>
      <w:r>
        <w:t>VD Tribunal cantonal, 2013-07-12, FR</w:t>
      </w:r>
    </w:p>
    <w:p>
      <w:r>
        <w:rPr>
          <w:b/>
        </w:rPr>
        <w:t xml:space="preserve">Quelle: </w:t>
      </w:r>
      <w:r>
        <w:t>https://mcp.opencaselaw.ch/entscheid/vd_omni_PE.2012.0288</w:t>
      </w:r>
    </w:p>
    <w:p>
      <w:r>
        <w:t>FR: VD_OMNI PE.2012.0288 du 12 juillet 2013</w:t>
      </w:r>
    </w:p>
    <w:p>
      <w:r>
        <w:t>IT: VD_OMNI PE.2012.0288 del 12 luglio 2013</w:t>
      </w:r>
    </w:p>
    <w:p>
      <w:pPr>
        <w:pStyle w:val="Heading2"/>
      </w:pPr>
      <w:r>
        <w:t>Regeste</w:t>
      </w:r>
    </w:p>
    <w:p>
      <w:r>
        <w:t>A. X.________/Service de la population (SPOP) | Ressortissant de Bosnie-Herzégovine, divorcé, père d'un enfant âgé de trois ans, de nationalité suisse. Confirmation du refus de prolonger son autorisation de séjour sur la base de l'art. 50 LEtr. En revanche, admission du recours sous l'angle de l'art. 8 CEDH (exercice du droit de visite, paiement régulier de la contribution d'entretien pour l'enfant) en dépit d'une attitude occasionnellement chicanière envers son ex-femme dans le cadre de l'organisation du droit de visite.</w:t>
      </w:r>
    </w:p>
    <w:p>
      <w:pPr>
        <w:pStyle w:val="Heading2"/>
      </w:pPr>
      <w:r>
        <w:t>Erwägungen</w:t>
      </w:r>
    </w:p>
    <w:p>
      <w:r>
        <w:rPr>
          <w:b/>
        </w:rPr>
        <w:t>E. 1</w:t>
      </w:r>
    </w:p>
    <w:p>
      <w:r>
        <w:t>a) Aux termes de l'art, 92 al. 1 de la loi vaudoise du 28 octobre 2008 sur la procédure administrative (LPA-VD ; RS 173.36), le Tribunal cantonal connaît des recours contre les décisions et décisions sur recours rendues par les autorités administratives lorsque la loi ne prévoit aucune autre autorité pour en connaître. La cour de céans est ainsi compétente pour statuer sur les recours interjetés contre les décisions du SPOP. b) Déposé en temps utile, selon les formes prescrites par la loi, le recours est formellement recevable, de sorte qu'il y a lieu d'entrer en matière sur le fond.</w:t>
      </w:r>
    </w:p>
    <w:p>
      <w:r>
        <w:rPr>
          <w:b/>
        </w:rPr>
        <w:t>E. 2</w:t>
      </w:r>
    </w:p>
    <w:p>
      <w:r>
        <w:t>Le présent recours ne doit pas être examiné au regard des dispositions relatives au changement de canton, qui supposent de la part de l'étranger souhaitant déplacer son lieu de résidence dans un autre canton la titularité d'une autorisation de séjour dans le canton de provenance. Dans le cas d'espèce, en effet, l'autorisation de séjour dont le recourant a bénéficié dans le canton de 2******** est venue à échéance et n'a pas été renouvelée par les autorités de police des étrangers de ce canton. Il incombe donc aux autorités cantonales vaudoises de déterminer si la prolongation de l'autorisation de séjour obtenue à 2******** par le recourant en vue de regroupement familial peut être prolongée et déployer ses effets dans le canton de Vaud. a) Après dissolution de la famille, le droit du conjoint à la poursuite de l'autorisation de séjour obtenu par regroupement familial subsiste dans les cas suivants : - lorsque l'union conjugale a duré au moins trois ans et que l'intégration est réussie (art. 50 al. 1 let a LEtr); - lorsque la poursuite du séjour en Suisse s'impose pour des raisons personnelles majeures (art. 50 al. 1 let b LEtr). L'art. 50 al, 2 LEtr précise que les raisons personnelles majeures visées à l'al. 1 let b sont notamment données lorsque le conjoint est victime de violence conjugale et que la réintégration sociale dans le pays de provenance semble fortement compromise. b) Les deux conditions posées par l'art. 50 al. 1 let a LEtr sont cumulatives (ATF 136 II 113 consid. 3.3.3 p. 119). Le délai de trois ans prévu par cette disposition se calcule en fonction de la durée pendant laquelle les époux ont fait ménage commun en Suisse (ATF 136 II 113, consid. 3.3.5 p.120). Le ménage commun implique une vie commune effective. En l'espèce, le recourant a vécu avec son épouse à 2******** du 22 septembre 2009 jusqu'au 31 juillet 2010. La vie commune des époux a été inférieure à un an, de sorte que l'art. 50 al. 1 let. a LEtr ne trouve pas application, indépendamment de la question de la réussite de l'intégration. c) Selon l'art. 50 al. 1 let. b LEtr, après dissolution de la famille le droit du conjoint à la prolongation de la durée de validité de son autorisation de séjour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sa famille (cf. ATF 137 II 345 consid. 3.2.1 p. 348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p.394 s.). Le Tribunal fédéral a mis en lumière un certain nombre de situations dans lesquelles la poursuite du séjour en Suisse peut s'imposer, qui ne sont toutefois pas exhaustives. Parmi celles-ci figurent notamment les violences conjugales, qui doivent revêtir une certaine intensité, et la réintégration fortement compromise dans le pays d'origine (cf. ATF 136 II 1 consid. 5.3 p. 4), mais aussi le cas dans lequel le conjoint duquel dépend le droit de séjour de l'étranger décède (cf. ATF 137 II 345 consid. 3.2.2 p. 349). S'agissant de la réintégration sociale dans le pays de provenance, l'art. 50 al.2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2C_216/2009 du 20 août 2009 consid.</w:t>
      </w:r>
    </w:p>
    <w:p>
      <w:r>
        <w:rPr>
          <w:b/>
        </w:rPr>
        <w:t>E. 3</w:t>
      </w:r>
    </w:p>
    <w:p>
      <w:r>
        <w:t>a) Aux termes de l'art. 8 CEDH, toute personne a notamment droit au respect de sa vie privée et familiale. Cette disposition ne confère cependant pas un droit à séjourner dans un Etat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l'art. 8 CEDH, un droit d'entrée et de séjour (arrêt 2C_793/2011 du 22 février 2012, consid. 2.1). Selon une jurisprudence constante, un étranger peut néanmoins,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L'art.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 er avril 2010, consid. 2.2).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(arrêt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 2C_315/2011 du 28 juillet 2011 consid. 3.2 et les références citées). b) En l'espèce, le recourant ne dispose pas de l'autorité parentale et du droit de garde sur son fils; il n'est au bénéfice que d'un droit de visite restreint, en raison du jeune âge de l'enfant. Ce droit de visite va cependant progressivement s'élargir et sera usuel dès qu'C.________ aura atteint l'âge de quatre ans, soit dès fin juin 2014. Après des débuts chaotiques, l'exercice du droit de visite du recourant semble s'améliorer, même si, aux dires de la mère de l'enfant, il est l'occasion de conflits occasionnels entre les parents. Le recourant donne l'impression d'être très attaché à son fils mais incapable d'entretenir avec son ex-épouse des relations favorables à l'épanouissement de l'enfant. La cause de cette attitude doit vraisemblablement être recherchée dans la difficulté du recourant à admettre l'échec de son mariage. Ce qui lui a d'ailleurs valu une condamnation pénale en raison de son comportement envers son ex-femme. Au plan de ses obligations financières, le recourant a établi qu'il s'acquittait régulièrement de la pension alimentaire mise à sa charge. On ne peut que regretter qu'il ait cru bon de placer l'allocation de naissance sur un compte ouvert au nom de son fils, dont il a seul la signature, plutôt que de la transmettre à la détentrice de l'autorité parentale. Même si le droit de visite du recourant ne s'est pas déroulé sans encombre jusqu'ici et que l'intéressé n'a pas vraiment fait preuve d'un comportement irréprochable, il faut admettre qu'il existe des liens affectifs et économiques solides entre le recourant et son fils et que l'on peut espérer que le recourant comprendra qu'il est dans l'intérêt de son fils et du sien d'abandonner l'attitude chicanière dont il a pu faire preuve à certaines occasions. Seul un apaisement des relations entretenues avec son ex-épouse permettra un exercice harmonieux du droit de visite. Compte tenu de l'ensemble des circonstances, il apparaît que l'intérêt privé du recourant – et de son fils – à conserver des relations familiales étroite l'emporte sur l'intérêt public à la limitation de la population étrangère. Il convient en conséquence de délivrer l'autorisation de séjour sollicitée par le recourant, dont la cour attend un comportement exemplaire dans l'exercice et l'organisation du droit de visite.</w:t>
      </w:r>
    </w:p>
    <w:p>
      <w:r>
        <w:rPr>
          <w:b/>
        </w:rPr>
        <w:t>E. 4</w:t>
      </w:r>
    </w:p>
    <w:p>
      <w:r>
        <w:t>Il résulte de ce qui précède que le recours doit être admis et la décision attaquée annulée. Vu le sort du recours, les frais sont laissés à la charge de l'Etat.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