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PE.2012.0282 vom 1. März 2013</w:t>
      </w:r>
    </w:p>
    <w:p>
      <w:r>
        <w:t>VD Tribunal cantonal, 2013-03-01, FR</w:t>
      </w:r>
    </w:p>
    <w:p>
      <w:r>
        <w:rPr>
          <w:b/>
        </w:rPr>
        <w:t xml:space="preserve">Quelle: </w:t>
      </w:r>
      <w:r>
        <w:t>https://mcp.opencaselaw.ch/entscheid/vd_omni_PE.2012.0282</w:t>
      </w:r>
    </w:p>
    <w:p>
      <w:r>
        <w:t>FR: VD_OMNI PE.2012.0282 du 1 mars 2013</w:t>
      </w:r>
    </w:p>
    <w:p>
      <w:r>
        <w:t>IT: VD_OMNI PE.2012.0282 del 1 marzo 2013</w:t>
      </w:r>
    </w:p>
    <w:p>
      <w:pPr>
        <w:pStyle w:val="Heading2"/>
      </w:pPr>
      <w:r>
        <w:t>Regeste</w:t>
      </w:r>
    </w:p>
    <w:p>
      <w:r>
        <w:t>X._____________ c/Service de la population (SPOP), Service de l'emploi Contrôle du marché du travail | La phrase-type, selon laquelle "Une dérogation ne peut être envisagée que si l'activité présente un intérêt public et économique important pour le canton (art. 19 al. a LEtr). Tel n'est pas manifestement pas le cas en l'espèce et la demande est dès lors rejetée", ne peut pas à elle seule être considérée comme une motivation conforme à ce qu'exige l'art. 42 let. c LPA-VD. Les termes de la décision attaquée, de même que les explications fournies ultérieurement, ne permettent pas au tribunal de vérifier si l'autorité a exercé son pouvoir d'appréciation conformément à la loi. Admission du recours et renvoi à l'autorité intimée pour nouvelle décision.</w:t>
      </w:r>
    </w:p>
    <w:p>
      <w:pPr>
        <w:pStyle w:val="Heading2"/>
      </w:pPr>
      <w:r>
        <w:t>Erwägungen</w:t>
      </w:r>
    </w:p>
    <w:p>
      <w:r>
        <w:rPr>
          <w:b/>
        </w:rPr>
        <w:t>E. 1</w:t>
      </w:r>
    </w:p>
    <w:p>
      <w:r>
        <w:t>Déposé en temps utile, selon les formes prescrites par la loi, le recours est formellement recevable.</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 recourant, ressortissant du Kosovo, ne peut pas invoquer de traité en sa faveur. Le recours s'examine dès lors uniquement au regard du droit interne, soit de la LEtr et ses dispositions d'application.</w:t>
      </w:r>
    </w:p>
    <w:p>
      <w:r>
        <w:rPr>
          <w:b/>
        </w:rPr>
        <w:t>E. 3</w:t>
      </w:r>
    </w:p>
    <w:p>
      <w:r>
        <w:t>a) Est litigieux le refus de délivrer au recourant une autorisation de séjour en vue de l’exercice d’une activité lucrative à titre d’indépendant. A cet égard, l'art. 19 LEtr prévoit ce qui suit: " Un étranger peut être admis en vue de l'exercice d'une activité lucrative indépendante aux conditions suivantes: a.  son admission sert les intérêts économiques du pays; b.  les conditions financières et les exigences relatives à l'exploitation de l'entreprise sont remplies; c.  les conditions fixées aux art. 20 et 23 à 25 sont remplies". L'art. 20 LEtr, auquel renvoie l'art. 19 let. c LEtr, dispose que le Conseil fédéral peut limiter le nombre d'autorisations de séjour initiales octroyées en vue de l'exercice d'une activité lucrative (al. 1). Il peut fixer un nombre maximum d'autorisations pour la Confédération et pour chaque canton (al. 2). L'art. 20 al. 1 de l' ordonnance du 24 octobre 2007 relative à l'admission, au séjour et à l'exercice d'une activité lucrative (OASA; RS 142.201) précise que les cantons peuvent délivrer des autorisations de séjour pour des séjours en vue d'exercer une activité lucrative d'une durée supérieure à un an, dans les limites des nombres maximums fixés à l'annexe 2, ch. 1, let. a. 23 LEtr.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 b) D'après les directives de l'Office fédéral des migrations (ODM) dans le domaine des étrangers (séjour avec activité lucrative, état au 1 er juillet 2010), les requêtes tendant à l'octroi d'une autorisation de séjour pour activité lucrative indépendante sont soumises à un examen des conditions relatives au marché du travail selon l'art. 19 LEtr et peuvent être admises s’il est prouvé qu’il en résultera des retombées durables positives pour le marché suisse du travail. On considère que le marché suisse du travail tire durablement profit de l’implantation lorsque la nouvelle entreprise contribue à la diversification de l’économie régionale dans la branche concernée, obtient ou crée des places de travail pour la main-d’oeuvre locale, procède à des investissements substantiels ou génère de nouveaux mandats pour l’économie helvétique (ch. 4.7.2.1). Afin de permettre à l'autorité d'examiner les conditions financières et les exigences liées à l'exploitation de l'entreprise (art. 19 let. b LEtr),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(ch. 4.7.2.3, voir aussi ch. 4.8.11 relatif aux annexes à joindre à la demande). Selon les directives,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(ch. 4.3.4).</w:t>
      </w:r>
    </w:p>
    <w:p>
      <w:r>
        <w:rPr>
          <w:b/>
        </w:rPr>
        <w:t>E. 4</w:t>
      </w:r>
    </w:p>
    <w:p>
      <w:r>
        <w:t>a) Une décision administrative doit notamment contenir " les faits, les règles juridiques et les motifs sur lesquels elle s'appuie ", selon l’art. 42 let. c de la du 28 octobre 2008 sur la procédure administrative (LPA-VD; RSV 173.36). Cette exigence découle du droit d'être entendu, tel qu’il est garanti par l’art. 29 al. 2 de la Constitution fédérale du 18 avril 1999 de la Confédération suisse (Cst; RS 101), ainsi que par l'art. 27 al. 2 de la Constitution du 14 avril 2003 du Canton de Vaud (Cst-VD; RSV 101.01). Ce droit confère notamment à toute personne celui d’exiger, en principe, qu’une décision ou un jugement défavorable à sa cause soit motivé. Il tend à éviter que l’autorité ne se laisse guider par des considérations subjectives ou dépourvues de pertinence; il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(ATF 126 I 97 consid. 2a p.102;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134 I 83 consid. 4.1 p. 88; 133 I 270 consid. 3.1 p. 277; 130 II 530 consid. 4.3; 126 I 15 consid. 2a/aa et les arrêts cités) . b) A cet égard, la phrase-type, selon laquelle " Une dérogation ne peut être envisagée que si l’activité présente un intérêt public et économique important pour le canton (art. 19 al. a LEtr). Tel n’est pas manifestement pas le cas en l’espèce et la demande est dès lors rejetée ", ne peut pas à elle seule être considérée comme une motivation conforme à ce qu'exige l'art. 42 let. c LPA-VD. La formulation du SDE ne permet pas de déterminer si l'autorité intimée a tenu compte des critères tels que dégagés au ch. 4.7.2.1 des directives de l’ODM précitées. L'autorité intimée ne développe d'ailleurs pas davantage ses motifs dans sa réponse au recours, ce qui aurait éventuellement permis de corriger les défauts de motivation constatés. La décision entreprise ne satisfait donc pas aux exigences de motivation minimales et viole ainsi le droit d'être entendu du recourant protégé par l'art. 29 al. 2 Cst. En l’absence de toute explication de l’autorité intimée sur l’activité professionnelle déployée par le recourant, le refus d’octroi de l’autorisation ne saurait être confirmé en l’état. Si le SDE entend confirmer son refus pour ce motif, il lui appartiendra de motiver sa décision sur ce point. Il n’échappe pas au tribunal que, comme c’est également le cas par rapport à la gestion du contingent des unités vaudoises (cf. PE.2010.0243 du 29 décembre 2010), cette question se prête mal à un contrôle judiciaire du fait de l’indétermination des normes applicables et de la liberté d’appréciation étendue qu’elles confèrent aux autorités d’application. Mais, si le législateur n'a certes pas attribué au tribunal le pouvoir de contrôler l’opportunité des décisions prises en la matière, il lui a néanmoins reconnu le pouvoir d’examiner l’exercice de cette liberté d’appréciation, notamment sous l’angle de l’abus de pouvoir.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Le tribunal ne peut donc se dispenser d’examiner si, dans un cas concret, l’exercice qu’a fait l’autorité de son pouvoir d’appréciation n’est pas arbitraire ou inégal . En l’occurrence, la motivation de la décision attaquée, de même que les explications fournies ultérieurement, ne permettent pas d’effectuer cette vérification.</w:t>
      </w:r>
    </w:p>
    <w:p>
      <w:r>
        <w:rPr>
          <w:b/>
        </w:rPr>
        <w:t>E. 5</w:t>
      </w:r>
    </w:p>
    <w:p>
      <w:r>
        <w:t>Il résulte des considérants qui précèdent que le recours doit être admis et la décision attaquée annulée. La cause est renvoyée à l’autorité intimée pour nouvelle décision dans le sens des considérants. Au vu de ce résultat, il n’est pas perçu de frais de justice. Ayant agi par l’intermédiaire d’un mandataire professionnellement qualifié, le recourant a droit à des dépens,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