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PE.2012.0263 vom 21. Januar 2013</w:t>
      </w:r>
    </w:p>
    <w:p>
      <w:r>
        <w:t>VD Tribunal cantonal, 2013-01-21, FR</w:t>
      </w:r>
    </w:p>
    <w:p>
      <w:r>
        <w:rPr>
          <w:b/>
        </w:rPr>
        <w:t xml:space="preserve">Quelle: </w:t>
      </w:r>
      <w:r>
        <w:t>https://mcp.opencaselaw.ch/entscheid/vd_omni_PE.2012.0263</w:t>
      </w:r>
    </w:p>
    <w:p>
      <w:r>
        <w:t>FR: VD_OMNI PE.2012.0263 du 21 janvier 2013</w:t>
      </w:r>
    </w:p>
    <w:p>
      <w:r>
        <w:t>IT: VD_OMNI PE.2012.0263 del 21 gennaio 2013</w:t>
      </w:r>
    </w:p>
    <w:p>
      <w:pPr>
        <w:pStyle w:val="Heading2"/>
      </w:pPr>
      <w:r>
        <w:t>Regeste</w:t>
      </w:r>
    </w:p>
    <w:p>
      <w:r>
        <w:t>A. X.________/Département de l'économie et du sport, Service de la population (SPOP) | Annulation de la révocation de l'autorisation d'établissement d'un ressortissant italien arrivé en Suisse en 1968. L'intéressé a certes été condamné à une lourde peine (4 ans pour infraction grave à la LStup). Compte tenu toutefois de son abstinence avérée à l'alcool et aux stupéfiants, de son travail d'introspection, du laps de temps écoulé depuis les infractions commises et de l'effet d'électrochoc qu'a eu sur lui l'enfermement, il ne représente en l'état pas une menace suffisamment grave pour justifier une mesure d'ordre public au sens de l'art. 5 annexe I ALCP.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Ressortissant italien,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L'ALCP ne réglementant pas le retrait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 OLCP; RS 142.203; ATF 2C_473/2011 du 17 octobre 2011 consid. 2.1). Aux termes de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 soit à une peine dépassant un an d'emprisonnement (ATF 135 II 377 consid. 4.2 p. 380 s.) - ou a fait l'objet d'une mesure pénale prévue aux art. 64 ou 61 CP (art. 62 let. b LEtr). b)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l'art. 16 al. 2 ALCP; au sujet de la prise en considération des arrêts de la Cour de justice postérieurs à cette date, cf. ATF 130 II 1 consid. 3.6 p. 9 ss, 113 consid. 5.2 p. 119 s. et les références citées). Conformément à la jurisprudence de la Cour de justice,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134 II 10 consid. 4.3 p. 24; 130 II 176 consid. 3.4.1, 4.2 et 4.3.1 et les références). Selon les circonstances, la jurisprudence admet néanmoins que le seul fait du comportement passé de la personne concernée puisse réunir les conditions de pareille menace actuelle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Les mesures d'éloignement sont au demeurant soumises à des conditions d'autant plus strictes que l'intéressé a séjourné longtemps en Suisse. Le renvoi d'étrangers ayant séjourné très longtemps en Suisse, voire de ceux qui y sont nés et y ont passé toute leur existence (étrangers de la "seconde génération" ), n'est exclu ni par l'ALCP, ni par la CEDH (ATF 130 II 176 consid. 4.4 p. 189 s. et les références).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2C_238/2012 du 30 juillet 2012 consid. 2.3; 2C_492/2011 du 6 décembre 2011 consid. 4.1; 2C_473/2011 du 17 octobre 2011 consid. 2.2; 2A.308/2004 du 4 octobre 2004 consid. 3.3). c) Tant en application de l'ALCP que de la LEtr, il faut encore que la pesée des intérêts publics et privés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p. 381). La nécessité de procéder à un examen de la proportionnalité de la mesure tendant à empêcher le recourant à séjourner en Suisse découle aussi de l'art. 8 § 2 CEDH.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p. 147).</w:t>
      </w:r>
    </w:p>
    <w:p>
      <w:r>
        <w:rPr>
          <w:b/>
        </w:rPr>
        <w:t>E. 3</w:t>
      </w:r>
    </w:p>
    <w:p>
      <w:r>
        <w:t>a) En l'espèce, le recourant a été condamné le 14 juin 2007 à une peine privative de liberté de quatre ans pour infraction grave à la LStup. Par ses agissements, il tombe incontestablement sous le coup des motifs de révocation prévus aux art. 62 let. b et 63 al. 1 let. b LEtr. Reste à examiner si la révocation de son autorisation d'établissement se justifie sous l'angle des conditions dont l'ALCP fait dépendre la limitation des droits qu'il confère, ainsi que du principe de proportionnalité (ATF 2C_473/2011 précité). b) Les faits commis par le recourant sont objectivement graves et se sont déroulés sur une période relativement importante. Il s'est en effet livré de janvier 2000 jusqu'à son arrestation le 22 mai 2004 à un trafic de drogue qui a porté sur au moins 893 gr. de cocaïne et lui a permis de réaliser un chiffre d'affaires important. Il a agi essentiellement par appât du gain et seulement dans une très faible mesure pour satisfaire sa propre consommation. Il a été jusqu'à entraîner son propre fils dans son activité criminelle qui n'a pris fin qu'avec son arrestation. Selon les juges pénaux, il n'a par ailleurs pas cessé au cours de la procédure de minimiser ses actes et de traiter les autres de menteurs. Compte tenu de la gravité de ces agissements et du fait que la lutte contre le trafic de drogue constitue, de jurisprudence constante, un intérêt public prépondérant, il convient de se montrer particulièrement rigoureux dans l'évaluation du risque de récidive. Dans le cadre de la procédure ayant abouti à sa condamnation, le recourant a été soumis à une expertise psychiatrique. Dans son rapport du 26 septembre 2006, l'expert relevait notamment que la perte d'autocritique ou le déni des actes de l'intéressé témoignait de ses ressources psychiques limitées, qui constituaient une difficulté importante à un travail d'introspection. A l'époque, il estimait faible à moyen le risque de récidive, compte tenu de la dépendance à la consommation d'alcool de l'intéressé que ce dernier banalisait et ne percevait pas comme une maladie, ainsi que de son efficience intellectuelle à la limite inférieure de la norme, voire déficiente dans certains cas. Depuis cette expertise, le recourant a toutefois pris conscience, et ce de manière décisive, de sa dépendance à l'alcool. Il ressort des pièces du dossier, notamment de la proposition de PES du 12 mars 2010 et des rapports de suivi de la FVP des 2 mai et 21 novembre 2012, que le recourant a en effet volontairement entrepris de ne plus consommer d'alcool et de cocaïne et qu'il a respecté une stricte abstinence durant toute sa détention, comme le démontrent les résultats des analyses régulières auquel il a été soumis. Le Juge d'application des peines a du reste estimé qu'il n'était plus nécessaire de soumettre l'intéressé à des contrôles d'abstinence à l'alcool et aux stupéfiants durant le délai d'épreuve, considérant que "la consommation abusive de ces derniers appart [enaient] au passé" . Il ressort également des rapports de suivi de la FVP que le recourant a travaillé durant sa détention et depuis sa libération conditionnelle sur "sa perception et sa position" sur ses agissements passés. Il reconnaît désormais l'ensemble des infractions commises. Certes, il persiste à trouver encore aujourd'hui la quotité de la peine qui lui a infligée trop lourde et il semble, comme l'a relevé le Juge d'application des peines dans son jugement du 28 octobre 2011, regretter "davantage les conséquences judiciaires de sa "bêtise" sur lui-même et son fils, ainsi que les souffrances subies par sa famille suite à son incarcération, que les conséquences néfastes que ses activités criminelles ont porté sur la santé de nombreux tiers, dont celle des prostituées qu'il fournissait régulièrement" . Il n'en demeure pas moins que, selon le dernier rapport de la FVP du 21 novembre 2012, le recourant reconnaît désormais son entière responsabilité dans les infractions perpétrées, ce qui n'était pas le cas lors du jugement pénal. Dans sa proposition de Plan d'exécution de la sanction (PES) du 12 mars 2010, le Service pénitentiaire des EPO mentionnait également comme facteur de récidive le "fait de se retrouver dans une situation qui pourrait fragiliser psychiquement" le recourant. Ce facteur doit toutefois être relativisé. Les témoins entendus lors des débats ont démontré que le recourant peut en effet compter sur un environnement familial stable et solide et qu'il a de plus définitivement "coupé les ponts" avec ses anciennes fréquentations. A cela s'ajoute que, depuis la fin de sa détention préventive le 10 septembre 2004 jusqu'à son incarcération le 22 juin 2009 et depuis sa libération conditionnelle le 1 er novembre 2011, soit pendant un total de près de six ans – ce qui n'est pas négligeable – , le recourant n'a plus commis aucun écart. Comme l'a relevé le Juge d'application des peines dans son jugement du 28 octobre 2011, l'enfermement semble avoir eu sur lui "un effet d'électrochoc" . Il convient encore de souligner qu'il s'agit de la seule condamnation pénale du recourant en Suisse. Il a certes un antécédent en Italie, mais celui-ci remonte à plus de trente ans et n'a aucun rapport avec les faits dont s'est rendu coupable l'intéressé entre janvier 2000 et mai 2004. Au regard de tous ces éléments, principalement de son abstinence avérée à l'alcool et aux stupéfiants, de son travail d'introspection, du laps de temps écoulé depuis les infractions commises, de l'effet d'électrochoc qu'a eu sur lui l'enfermement, et conformément à la jurisprudence selon laquelle les limites posées au principe de la libre circulation des personnes doivent s'interpréter de manière restrictive, il y a lieu d'admettre que le recourant ne représente pas, en l'état, une menace suffisamment grave pour justifier une mesure d'ordre public au sens de l'art. 5 annexe I ALCP. c) C'est ainsi à tort que l'autorité intimée a révoqué l'autorisation d'établissement du recourant et a prononcé son renvoi de Suisse.</w:t>
      </w:r>
    </w:p>
    <w:p>
      <w:r>
        <w:rPr>
          <w:b/>
        </w:rPr>
        <w:t>E. 4</w:t>
      </w:r>
    </w:p>
    <w:p>
      <w:r>
        <w:t>Les considérants qui précèdent conduisent à l'admission du recours et à l'annulation de la décision attaquée. Compte tenu de l'issue du litige, les frais sont laissés à la charge de l'Etat (art. 49 LPA-VD). Le recourant, qui a procédé par l'intermédiaire d'un mandataire professionnel, a droit à l'allocation de dépens,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