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PE.2012.0262 vom 5. März 2013</w:t>
      </w:r>
    </w:p>
    <w:p>
      <w:r>
        <w:t>VD Tribunal cantonal, 2013-03-05, FR</w:t>
      </w:r>
    </w:p>
    <w:p>
      <w:r>
        <w:rPr>
          <w:b/>
        </w:rPr>
        <w:t xml:space="preserve">Quelle: </w:t>
      </w:r>
      <w:r>
        <w:t>https://mcp.opencaselaw.ch/entscheid/vd_omni_PE.2012.0262</w:t>
      </w:r>
    </w:p>
    <w:p>
      <w:r>
        <w:t>FR: VD_OMNI PE.2012.0262 du 5 mars 2013</w:t>
      </w:r>
    </w:p>
    <w:p>
      <w:r>
        <w:t>IT: VD_OMNI PE.2012.0262 del 5 marzo 2013</w:t>
      </w:r>
    </w:p>
    <w:p>
      <w:pPr>
        <w:pStyle w:val="Heading2"/>
      </w:pPr>
      <w:r>
        <w:t>Regeste</w:t>
      </w:r>
    </w:p>
    <w:p>
      <w:r>
        <w:t>A. X.________/Service de la population (SPOP) | Recours contre le refus de prolonger une autorisation de séjour pour regroupement familial et contre le renvoi d'un étranger. Le recourant et son épouse suisse se sont séparés trois mois après leur mariage. Ni la procédure ouverte en annulation de mariage et en divorce, ni la situation personnelle du recourant ne sauraient constituer une raison personnelle majeure au sens de l'art. 50 al. 1 let. b LEtr.</w:t>
      </w:r>
    </w:p>
    <w:p>
      <w:pPr>
        <w:pStyle w:val="Heading2"/>
      </w:pPr>
      <w:r>
        <w:t>Erwägungen</w:t>
      </w:r>
    </w:p>
    <w:p>
      <w:r>
        <w:rPr>
          <w:b/>
        </w:rPr>
        <w:t>E. 1</w:t>
      </w:r>
    </w:p>
    <w:p>
      <w:r>
        <w:t>A. X.________ est directement touchée par la décision attaquée contre laquelle il a recouru dans le délai et les formes requises auprès du tribunal compétent (art. 75, 79, 92, 95 et 99 de la loi du 28 octobre 2008 sur la procédure administrative (LPA-VD; RSV 173.36). Son recours est recevable. Il y a donc lieu d'entrer en matière sur le fond.</w:t>
      </w:r>
    </w:p>
    <w:p>
      <w:r>
        <w:rPr>
          <w:b/>
        </w:rPr>
        <w:t>E. 2</w:t>
      </w:r>
    </w:p>
    <w:p>
      <w:r>
        <w:t>Le recourant considère que son permis de séjour devrait être prolongé pour des raisons personnelles majeures.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50 LEtr. prévoit toutefois qu'après dissolution de la famille, le droit du conjoint et des enfants à l’octroi d’une autorisation de séjour et à la prolongation de sa durée de validité en vertu de l'art. 42 subsiste si l’union conjugale a duré au moins trois ans et l’intégration est réussie, ou si la poursuite du séjour en Suisse s’impose pour des raisons personnelles majeures (al. 1), lesquelles sont notamment données lorsque le conjoint est victime de violence conjugale et que la réintégration sociale dans le pays de provenance semble fortement compromise (al. 2). Les motifs justifiant la poursuite du séjour en Suisse n'étant pas précisés de manière exhaustive, les autorités disposent d’une certaine marge d’appréciation (ATF 136 II 1 consid. 5.3 p. 4).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les éléments évoqués à l’art. 31 al. 1 de l’ordonnance du 24 octobre 2007 relative à l’admission, au séjour et à l’exercice d’une activité lucrative (OASA; RS 142.201) peuvent également jouer un rôle important, même si, pris individuellement, ils ne suffisent en principe pas à fonder un cas individuel d’une extrême gravité. Il convient ainsi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w:t>
      </w:r>
    </w:p>
    <w:p>
      <w:r>
        <w:rPr>
          <w:b/>
        </w:rPr>
        <w:t>E. 3</w:t>
      </w:r>
    </w:p>
    <w:p>
      <w:r>
        <w:t>Les considérants qui précèdent conduisent au rejet du recours et à la confirmation de la décision attaquée. Vu le sort du recours, un émolument judiciaire sera mis à la charge du recourant (art. 49 al. 1 LPA-VD). Il ne sera pas alloué de dépens (art. 52,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