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PE.2012.0224 vom 4. Dezember 2012</w:t>
      </w:r>
    </w:p>
    <w:p>
      <w:r>
        <w:t>VD Tribunal cantonal, 2012-12-04, FR</w:t>
      </w:r>
    </w:p>
    <w:p>
      <w:r>
        <w:rPr>
          <w:b/>
        </w:rPr>
        <w:t xml:space="preserve">Quelle: </w:t>
      </w:r>
      <w:r>
        <w:t>https://mcp.opencaselaw.ch/entscheid/vd_omni_PE.2012.0224</w:t>
      </w:r>
    </w:p>
    <w:p>
      <w:r>
        <w:t>FR: VD_OMNI PE.2012.0224 du 4 décembre 2012</w:t>
      </w:r>
    </w:p>
    <w:p>
      <w:r>
        <w:t>IT: VD_OMNI PE.2012.0224 del 4 dicembre 2012</w:t>
      </w:r>
    </w:p>
    <w:p>
      <w:pPr>
        <w:pStyle w:val="Heading2"/>
      </w:pPr>
      <w:r>
        <w:t>Regeste</w:t>
      </w:r>
    </w:p>
    <w:p>
      <w:r>
        <w:t>A.X.________ Y.________/Service de la population (SPOP) | Ressortissante camerounaise arrivée en Suisse en 2009 afin d'y rejoindre son futur mari, ressortissant suisse connu sur internet. Mariage en 2010. Séparation judiciaire du couple en été 2011. Révocation de l'autorisation de séjour de l'épouse par le SPOP. Recours à la CDAP rejeté. Les époux ne faisant plus ménage commun et l'union conjugale n'ayant pas duré 3 ans, la recourante ne peut se prévaloir ni de l'art. 42 LEtr, ni de l'art. 50 al. 1 let. a LEtr. Pas de raisons personnelles majeures justifiant la délivrance d'une autorisation de séjour au sens de l'art. 50 al. 1 let. b LEtr. L'adultère du mari n'en est pas une. Enfin, rien n'indique que la réintégration de la recourante au Cameroun serait fortement compromise. Recours au Tribunal fédéral rejeté dans la mesure où il est recevable (ATF 2C_68/2013 du 25 mars 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à titre de mesures d'instruction, la fixation d'une audience.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la recourante a expliqué qu'elle souhaitait faire entendre des témoins sur sa situation personnelle et son intégration en Suisse. Ces éléments ne sont toutefois, comme on le verra ci-après, pas déterminants pour l'issue du litige. Il n'y a dès lors pas lieu de donner suite au complément d'instruction requis, le tribunal s'estimant suffisamment renseigné sur la base du dossier pour juger en toute connaissance de cause.</w:t>
      </w:r>
    </w:p>
    <w:p>
      <w:r>
        <w:rPr>
          <w:b/>
        </w:rPr>
        <w:t>E. 3</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Y.________ ne font plus ménage commun depuis le 31 juillet 2011, soit depuis un peu plus de seize mois. Lors de son audition par la police le 16 janvier 2012, l'époux de la recourante a déclaré qu'il souhaitait divorcer et qu'il introduirait la procédure dès l'échéance du délai légal de séparation. Il a expliqué qu'il n'y avait plus d'amour entre eux et qu'il s'était rendu compte assez rapidement que son épouse "s'était mariée plus pour les papiers que pour [lui] " . Dans une lettre du 17 avril 2012 adressée au SPOP, il a confirmé qu'il ne reprendrait jamais la vie commune. Compte tenu des déclarations de l'époux et de la durée de la séparation, une reprise de la vie commune n'apparaît pas envisageable, ce que la recourante ne conteste plus. Ainsi, la recourante ne peut plus invoquer l'art. 42 al. 1 LEtr pour obtenir la prolongation de son autorisation de séjour.</w:t>
      </w:r>
    </w:p>
    <w:p>
      <w:r>
        <w:rPr>
          <w:b/>
        </w:rPr>
        <w:t>E. 4</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Y.________, qui se sont mariés le 29 janvier 2010, se sont séparés le 31 juillet 2011. L'union conjugale au sens de l'art. 50 al. 1 let. a LEtr a ainsi duré moins de trois ans. La recourante ne peut dès lors pas se prévaloir de l'application de cette disposition.</w:t>
      </w:r>
    </w:p>
    <w:p>
      <w:r>
        <w:rPr>
          <w:b/>
        </w:rPr>
        <w:t>E. 5</w:t>
      </w:r>
    </w:p>
    <w:p>
      <w:r>
        <w:t>a) L'art. 50 al. 1 let. b LEtr prévoit qu'après dissolution de la famille, le droit du conjoint à l’octroi d’une autorisation de séjour et à sa prolongation subsiste lorsque la poursuite du séjour en Suisse s'impose pour des raisons personnelles majeures. Selon l'art. 50 al. 2 LEtr, les raisons personnelles majeures visées à l'al.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 2C_155/2011 du 7 juillet 2011 consid. 4.3).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2C_759/2010 du 28 janvier 2011, consid. 5.2.1, 2C_594/2010 du 24 novembre 2010, consid. 3.2, et les références citées). b) En l'espèce, la recourante soutient avoir été victime de violences psychiques de la part de son mari, qui l'aurait trompée, dénigrée et diffamée à de nombreuses reprises. Elle a produit plusieurs pièces, notamment des annonces publiées par son mari sur des sites de rencontre, ainsi que des échanges de courriers électroniques, pour prouver ses allégations. Ces documents établissent que son mari a entretenu des relations extra-conjugales. Selon la jurisprudence, l'adultère du conjoint ne présente toutefois pas la gravité nécessaire à la mise en oeuvre de l'art. 50 al. 1 let. b LEtr (arrêts 2C_289/2012 du 12 juillet 2012 et 2C_475/2010 du 29 octobre 2010). Les pièces produites par la recourante ne prouvent pas les autres actes qu'aurait commis son mari (propos humiliants et racistes, mépris, chantage, non-contribution à son entretien). Ils ne seraient de toute manière pas d'une intensité suffisante pour ouvrir le droit exceptionnel à une autorisation de séjour découlant de l'art. 50 al. 1 let. b LEtr. Dans sa lettre du 21 mars 2012 au SPOP, la recourante a d'ailleurs déclaré être disposée à reprendre la vie commune malgré l'attitude de son époux. La recourante allègue également avoir reçu à une reprise un coup de poing dans le ventre lors d'une dispute. Cet acte isolé ne suffit pas non plus pour admettre l'existence de raisons personnelles majeures au sens de l'art. 50 al. 1 let. b LEtr. En outre, contrairement à ce que soutient la recourante, aucun élément n'indique que sa réintégration au Cameroun serait fortement compromise. En effet, la recourante, âgée de 27 ans, a vécu les vingt-trois premières années de son existence au Cameroun. Ses racines socio-culturelles se trouvent dans ce pays, où elle a certainement conservé un cercle d'amis et de connaissances susceptibles de favoriser son retour. Son séjour de quatre ans en Suisse, au cours duquel elle est d'ailleurs retournée au Cameroun à une reprise, n'a pas pu lui faire perdre tous ses repères dans son pays d'origine. En outre, elle a encore de la famille (notamment ses parents) au Cameroun, qui pourra l'aider à s'y installer. Quant à son intégration, elle ne sort pas de l'ordinaire. Certes, la recourante a un emploi fixe, a un réseau d'amis en Suisse et n'a jamais attiré l'attention défavorablement sur elle. Ces éléments ne sont toutefois pas si exceptionnels qu'ils feraient apparaître disproportionné son retour au Cameroun. A cela s'ajoute que la recourante est jeune, en bonne santé et n'a pas de charge de famille. La recourante ne peut ainsi pas se prévaloir non plus de l'application de l'art. 50 al. 1 let. b LEtr.</w:t>
      </w:r>
    </w:p>
    <w:p>
      <w:r>
        <w:rPr>
          <w:b/>
        </w:rPr>
        <w:t>E. 6</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