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PE.2012.0197 vom 15. November 2012</w:t>
      </w:r>
    </w:p>
    <w:p>
      <w:r>
        <w:t>VD Tribunal cantonal, 2012-11-15, FR</w:t>
      </w:r>
    </w:p>
    <w:p>
      <w:r>
        <w:rPr>
          <w:b/>
        </w:rPr>
        <w:t xml:space="preserve">Quelle: </w:t>
      </w:r>
      <w:r>
        <w:t>https://mcp.opencaselaw.ch/entscheid/vd_omni_PE.2012.0197</w:t>
      </w:r>
    </w:p>
    <w:p>
      <w:r>
        <w:t>FR: VD_OMNI PE.2012.0197 du 15 novembre 2012</w:t>
      </w:r>
    </w:p>
    <w:p>
      <w:r>
        <w:t>IT: VD_OMNI PE.2012.0197 del 15 novembre 2012</w:t>
      </w:r>
    </w:p>
    <w:p>
      <w:pPr>
        <w:pStyle w:val="Heading2"/>
      </w:pPr>
      <w:r>
        <w:t>Regeste</w:t>
      </w:r>
    </w:p>
    <w:p>
      <w:r>
        <w:t>A. X.________, B. X.________/Service de la population (SPOP) | Cas de deux frères Equatoriens, célibataires, sans enfants, âgés de 23 et 24 ans, séjournant en Suisse sans autorisation depuis 2003. Demande de réexamen des décisions de renvoi, entrées en force. Rejet de la demande confirmé, car on ne se trouve pas en présence d'un cas de rigueur.</w:t>
      </w:r>
    </w:p>
    <w:p>
      <w:pPr>
        <w:pStyle w:val="Heading2"/>
      </w:pPr>
      <w:r>
        <w:t>Erwägungen</w:t>
      </w:r>
    </w:p>
    <w:p>
      <w:r>
        <w:rPr>
          <w:b/>
        </w:rPr>
        <w:t>E. 1</w:t>
      </w:r>
    </w:p>
    <w:p>
      <w:r>
        <w:t>Le SPOP a traité la demande du 12 décembre 2011 comme portant sur la reconsidération des décisions antérieures. Les recourants contestent cette appréciation. Ils estiment que le SPOP aurait dû traiter leur demande comme une nouvelle demande d’autorisation de séjour, au regard notamment des dispositions relatives au cas de rigueur. Cette controverse n’est pas déterminante. En effet, dans ses arrêts antérieurs des 25 octobre 2006, 5 novembre 2008 et 8 décembre 2009, le Tribunal a déjà eu l’occasion d’examiner si une autorisation de séjour devait être octroyée aux recourants, parce qu’ils entreraient dans la catégorie des cas dit de rigueur. A chaque fois, le Tribunal a écarté les moyens soulevés par les recourants dans ce cadre. Le Tribunal n’a pas de raisons de ne pas entrer en matière sur ce point, ce d’autant moins que le SPOP a subsidiairement rejeté la demande de réexamen au fond.</w:t>
      </w:r>
    </w:p>
    <w:p>
      <w:r>
        <w:rPr>
          <w:b/>
        </w:rPr>
        <w:t>E. 2</w:t>
      </w:r>
    </w:p>
    <w:p>
      <w:r>
        <w:t>Il est possible de déroger aux conditions d’admission notamment pour tenir compte des cas individuels d’une extrême gravité ou d’intérêts publics majeurs (art. 30 al. 1 let. b de la loi du 16 décembre 2005 sur les étrangers – LEtr; RS 142.20). L'art. 31 de l'ordonnance fédérale du 24 octobre 2007 relative à l'admission, au séjour et à l'exercice d'une activité lucrative (OASA; RS 142.201) énumère les critères que les autorités doivent prendre en considération pour octroyer une autorisation de séjour dans les cas individuels d'extrême gravité au sens des art. 30 al. 1 let. b LEtr. Sa teneur est la suivante : "(…)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b)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128 II 200 consid. 4 p. 207). La jurisprudence a notamment précisé que la longueur du séjour n'était pas à elle seule constitutive d'un cas personnel d'extrême gravité, dans la mesure notamment où ce séjour était illégal (ATF 130 II 39). Sinon, l'obstination à violer la législation en vigueur serait en quelque sorte récompensée. Dès lors,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 ATF 124 II 110 consid.</w:t>
      </w:r>
    </w:p>
    <w:p>
      <w:r>
        <w:rPr>
          <w:b/>
        </w:rPr>
        <w:t>E. 3</w:t>
      </w:r>
    </w:p>
    <w:p>
      <w:r>
        <w:t>Le recours doit ainsi être rejeté, et la décision attaquée confirmée. Les frais sont mis à la charge des recourants; il n’est pas alloué de dépens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