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PE.2012.0180 vom 28. September 2012</w:t>
      </w:r>
    </w:p>
    <w:p>
      <w:r>
        <w:t>VD Tribunal cantonal, 2012-09-28, FR</w:t>
      </w:r>
    </w:p>
    <w:p>
      <w:r>
        <w:rPr>
          <w:b/>
        </w:rPr>
        <w:t xml:space="preserve">Quelle: </w:t>
      </w:r>
      <w:r>
        <w:t>https://mcp.opencaselaw.ch/entscheid/vd_omni_PE.2012.0180</w:t>
      </w:r>
    </w:p>
    <w:p>
      <w:r>
        <w:t>FR: VD_OMNI PE.2012.0180 du 28 septembre 2012</w:t>
      </w:r>
    </w:p>
    <w:p>
      <w:r>
        <w:t>IT: VD_OMNI PE.2012.0180 del 28 settembre 2012</w:t>
      </w:r>
    </w:p>
    <w:p>
      <w:pPr>
        <w:pStyle w:val="Heading2"/>
      </w:pPr>
      <w:r>
        <w:t>Regeste</w:t>
      </w:r>
    </w:p>
    <w:p>
      <w:r>
        <w:t>A. X.________ c/Service de la population (SPOP) | Ressortissant brésilien arrivé en Suisse à l'âge de 9 ans en même temps que sa mère et sa soeur, mis au bénéfice d'une autorisation de séjour en 2007 au titre du regroupement familial pour vivre aux côtés de sa mère, qui avait elle-même obtenu une autorisation de séjour suite à son mariage. Alors que l'intéressé est âgé de 17 ans et 4 mois, sa mère et l'époux de celle-ci annoncent leur départ définitif de Suisse pour le Brésil le 31 janvier 2011, tout en indiquant que le fils était aussi concerné par ce départ. Postérieurement à la date annoncée de départ, la mère et son mari indiquent au Service du contrôle des habitants compétent que leur projet ayant pris du retard, ils souhaitent que leurs permis soient "rétablis". Refus du SPOP de renouveller le permis de séjour du jeune homme. Recours auprès de la CDAP. L'annonce de départ définitif faite par la mère au nom de son fils - le recourant - alors que celui-ci était encore mineur lie celui-ci. C'est partant à juste titre que le SPOP a constaté que l'autorisation de séjour délivrée au recourant avait pris fin avec cette annonce de départ au 31 janvier 2011. Dès lors qu'à cette date, le recourant séjournait en Suisse depuis moins de cinq ans, il ne réalise pas les conditions d'une réadmission et de délivrance d'une autorisation de séjour. En outre, le recourant ne se trouve pas dans un cas individuel d'extrême gravité, qui imposerait la poursuite de son séjour en Suisse. Par ailleurs, en l'absence de liens sociaux et professionnels supérieurs à ceux résultant d'une intégration ordinaire, le recourant ne saurait se prévaloir de l'art. 8 CEDH pour fonder un droit à la délivrance d'une autorisation de séjour. Enfin, la décision attaquée ne viole pas les principes de la bonne foi et de l'égalité de traitement. Recours rejeté. Recours au Tribunal fédéral irrecevable (ATF 2C_1059/2012 du 11 décembre 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En l'espèce, l'autorité intimée a constaté que l'autorisation de séjour du recourant avait pris fin suite à l'annonce de son départ de Suisse faite sous la plume de sa mère le 7 décembre 2010. a) Selon l'art. 61 al. 1 de la loi fédérale du 16 décembre 2005 sur les étrangers (LEtr; RS 142.20), l’autorisation prend fin lorsque l’étranger déclare son départ de Suisse (let.a), lorsqu’il obtient une autorisation dans un autre canton (let.b), à l’échéance de l’autorisation (let.c) ou suite à une expulsion au sens de l’art. 68 (let.d). Selon l'alinéa 2 de cette disposition, si un étranger quitte la Suisse sans déclarer son départ, l’autorisation de courte durée prend automatiquement fin après trois mois, l’autorisation de séjour ou d’établissement après six mois. Sur demande, l’autorisation d’établissement peut être maintenue pendant quatre ans. b) En l'occurrence, l'annonce de départ faite par la mère du recourant pour le 31 janvier 2011 datait du 7 décembre 2010. A cette date, le recourant était encore mineur. Sa mère le représentait ainsi d'un point de vue légal. Cette annonce de départ liait par conséquent le recourant, ce que d'ailleurs ce dernier ne conteste pas. Il s'ensuit que c'est à juste titre que l'autorité intimée a constaté que l'autorisation de séjour délivrée au recourant avait pris fin avec cette annonce de départ au 31 janvier 2011.</w:t>
      </w:r>
    </w:p>
    <w:p>
      <w:r>
        <w:rPr>
          <w:b/>
        </w:rPr>
        <w:t>E. 3</w:t>
      </w:r>
    </w:p>
    <w:p>
      <w:r>
        <w:t>Le 3 mars 2011, la mère du recourant a écrit au Service du contrôle des habitants de 1******** pour annoncer qu'elle et son époux avaient momentanément renoncé à leur projet de départ au Brésil et qu'en conséquence, il requéraient que leurs autorisations de séjour soient rétablies. Cette annonce concernait aussi le recourant, qui à l'époque était toujours mineur. Il convient d'examiner dans ces conditions cette demande sous l'angle de la réadmission du recourant en Suisse. a) Selon l'art. 49 al. 1 er de l'Ordonnance du 24 octobre 2007 relative à l'admission, au séjour et à l'exercice d'une activité lucrative (OASA; RS 142.201),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b) En l'espèce, bien qu'entré en Suisse le 30 janvier 2002, le recourant n'a obtenu une autorisation de séjour que le 24 avril 2007. A fin 2010-début 2011, époque de l'annonce de son départ, puis au 31 janvier 2011, date annoncée du départ, cela faisait moins de quatre ans qu'il séjournait en Suisse légalement. La limite des cinq ans fixée par l'art. 49 al. 1 OASA n'étant pas atteinte, le recourant ne saurait se prévaloir de cette disposition pour se voir réadmis en Suisse et obtenir une nouvelle autorisation de séjour.</w:t>
      </w:r>
    </w:p>
    <w:p>
      <w:r>
        <w:rPr>
          <w:b/>
        </w:rPr>
        <w:t>E. 4</w:t>
      </w:r>
    </w:p>
    <w:p>
      <w:r>
        <w:t>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Toujours s elon la jurisprudence rendue sous l’empire de l’art. 13 let. f de l’ancienne ordonnance fédérale du 6 octobre 1986 limitant le nombre des étrangers (OLE), applicable par analogie (arrêt PE.2009.0657 du 28 avril 2010 consid. 6 c/bb), le retour forcé peut constituer pour un enfant qui est déjà scolarisé et qui a dès lors commencé à s'intégrer de manière autonome dans la réalité quotidienne suisse un véritable déracinement, mais tel n'est pas forcément toujours le cas. Il y a lieu de tenir compte, en particulier, de leur âge, des efforts consentis, du degré de réussite de la scolarisation ainsi que des différences socio-économiques existant entre la Suisse et le pays où ils seront renvoyés.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de quatorze ans arrivés en Suisse, respectivement à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w:t>
      </w:r>
    </w:p>
    <w:p>
      <w:r>
        <w:rPr>
          <w:b/>
        </w:rPr>
        <w:t>E. 5</w:t>
      </w:r>
    </w:p>
    <w:p>
      <w:r>
        <w:t>Le recourant invoque également le droit au respect de sa vie privée, fondé sur l'art. 8 CEDH. a) Un étranger peut, selon les circonstances, se prévaloir de l'art. 8 §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137 I 284 consid. 2.1 p. 287 et consid. 2.7 p. 293; 131 II 265 consid. 5 p. 269; 129 II 193 consid. 5.3.1 p. 211),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 42034/04). A cet égard, l'étranger doit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arrêt 2C_75/2011 du 6 avril 2011 consid. 3.1) et en gardant à l'esprit qu'un permis d'établissement est en principe accordé après une période de dix ans (cf. art. 34 al. 2 let. a LEtr).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arrêt 2C_382/2010 du 4 octobre 2010 consid. 7.1; arrêt 2C_493/2010 du 16 novembre 2010 consid. 1.4). La jurisprudence a notamment déduit de l'art. 8 § 1 CEDH,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(ATF 130 II 281 consid. 3.2 et 3.3 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professionnels (création d'une société à responsabilité limitée; emploi à la Délégation permanente de l'Union africaine auprès de l'ONU) et sociaux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b) En l'occurrence, le recourant n'a vécu en Suisse dans la légalité que durant cinq ans environ. Comme rappelé au considérant précédent, il n'a pas développé dans notre pays de liens particulièrement intenses dans les domaines professionnels et sociaux. Il se trouve actuellement en stage dans la restauration et ne peut se prévaloir de relations sociales particulières qui dépasseraient celles découlant d'une intégration ordinaire. Le fait que le recourant soit indépendant financièrement, s'il mérite d'être salué, n'a rien d'exceptionnel. Il en va de même du moyen tiré de la maîtrise du français par le recourant. Enfin, la mère du recourant, avec qui il a vécu durant son séjour en Suisse, est retournée vivre au Brésil, de sorte que le recourant bénéficie d'attaches familiales sérieuses et concrètes avec son pays d'origine, étant précisé que le recourant ne soutient pas qu'il entretiendrait avec sa soeur une relation spéciale qui justifierait sa présence en Suisse. En définitive, en l'absence de liens sociaux et professionnels supérieurs à ceux résultant d'une intégration ordinaire, le recourant ne saurait se prévaloir de l'art. 8 CEDH pour fonder un droit à la délivrance d'une autorisation de séjour.</w:t>
      </w:r>
    </w:p>
    <w:p>
      <w:r>
        <w:rPr>
          <w:b/>
        </w:rPr>
        <w:t>E. 6</w:t>
      </w:r>
    </w:p>
    <w:p>
      <w:r>
        <w:t>Le recourant voit dans le fait que l'autorité intimée ait remis en cause son statut en Suisse après qu'il eut atteint l'âge de la majorité une violation du principe de la bonne foi et de celui de l'égalité de traitement. Ce moyen doit être écarté. Certes, le courrier de l'autorité intimée du 5 octobre 2011 a été adressé au recourant dix mois environ après son annonce de départ. Le fait que l'annonce de départ ait été traitée après la majorité du recourant, atteinte le 28 août 2011, ne peut être reproché à l'autorité intimée. On ne saurait en effet faire grief à cette dernière d'avoir exagérément tardé avant de statuer sur le cas du recourant, ce d'autant moins que l'annonce de départ émanait du recourant lui-même, alors représenté par sa mère, et que selon cette annonce, il s'était engagé à quitter le territoire suisse au 31 janvier 2011. On ne perçoit au demeurant aucune attitude contradictoire de l'autorité intimée, qui aurait à une occasion ou à une autre pu laisser à penser que la situation du recourant serait à nouveau régularisée en Suisse, ni de position distincte d'un autre cas similaire, qui serait constitutive d'une inégalité de traitement.</w:t>
      </w:r>
    </w:p>
    <w:p>
      <w:r>
        <w:rPr>
          <w:b/>
        </w:rPr>
        <w:t>E. 7</w:t>
      </w:r>
    </w:p>
    <w:p>
      <w:r>
        <w:t>En définitive, mal fondé, le recours doit être rejeté et la décision attaquée, confirmée. Les frais de la cause seront assumés par le recourant, qui succombe. Il n'y a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