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PE.2012.0159 vom 29. November 2012</w:t>
      </w:r>
    </w:p>
    <w:p>
      <w:r>
        <w:t>VD Tribunal cantonal, 2012-11-29, FR</w:t>
      </w:r>
    </w:p>
    <w:p>
      <w:r>
        <w:rPr>
          <w:b/>
        </w:rPr>
        <w:t xml:space="preserve">Quelle: </w:t>
      </w:r>
      <w:r>
        <w:t>https://mcp.opencaselaw.ch/entscheid/vd_omni_PE.2012.0159</w:t>
      </w:r>
    </w:p>
    <w:p>
      <w:r>
        <w:t>FR: VD_OMNI PE.2012.0159 du 29 novembre 2012</w:t>
      </w:r>
    </w:p>
    <w:p>
      <w:r>
        <w:t>IT: VD_OMNI PE.2012.0159 del 29 novembre 2012</w:t>
      </w:r>
    </w:p>
    <w:p>
      <w:pPr>
        <w:pStyle w:val="Heading2"/>
      </w:pPr>
      <w:r>
        <w:t>Regeste</w:t>
      </w:r>
    </w:p>
    <w:p>
      <w:r>
        <w:t>A. X.________/Service de la population (SPOP) | Ressortissant nigérian qui s'est vu refuser la prolongation de son autorisation de séjour au motif qu'il ne faisait plus ménage commun avec son épouse. La vie conjugale a duré un peu plus d'une année et il n'y a pas lieu de comptabiliser les années de vie commune résultant d'une précédente union. Le recourant soutient de manière erronée qu'une reprise de la vie commune serait intervenue. Pas de raisons personnelles majeures justifiant la prolongation de son séjour en Suisse (recourant jeune et en bonne santé, dont le contrat de travail a été résilié depuis plus d'une année). Enfin, le recourant ne peut se prévaloir d'un séjour légal ininterrompu de cinq ans; à l'issue d'une première union, un délai de départ avait été imparti au recourant pour quitter la Suisse et le second mariage n'est pas intervenu avant l'échéance de ce délai. Recours au TF déclaré irrecevable (2C_48/2013).</w:t>
      </w:r>
    </w:p>
    <w:p>
      <w:pPr>
        <w:pStyle w:val="Heading2"/>
      </w:pPr>
      <w:r>
        <w:t>Erwägungen</w:t>
      </w:r>
    </w:p>
    <w:p>
      <w:r>
        <w:rPr>
          <w:b/>
        </w:rPr>
        <w:t>E. 1</w:t>
      </w:r>
    </w:p>
    <w:p>
      <w:r>
        <w:t>a) En vertu de l'art. 43 al. 1 de la loi fédérale du 16 décembre 2005 sur les étrangers (LEtr;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disparition de cette condition entraîne – sous réserve des art. 49 et 50 LEtr – l'extinction du droit, et ce indépendamment des motifs de séparation. Il ressort du dossier que le recourant et son épouse ont annoncé une reprise de la vie commune au contrôle des habitants de leur commune de domicile. Le recourant n'a toutefois pas été en mesure de produire une attestation de son épouse qui le confirmerait. Celle-ci a au contraire déclaré qu'elle n'avait jamais envisagé reprendre la vie commune avec son époux, expliquant qu'elle aurait accepté uniquement de recevoir le courrier de ce dernier. Il convient dès lors de retenir que le recourant ne fait plus ménage commun avec son épouse. b) Selon l'art. 49 LEtr, l'exigence de ménage commun n'est toutefois pas applicable lorsque la communauté est maintenue et que des raisons majeures justifiant l'existence de domiciles séparés peuvent être invoqués. Il appartient à l'étranger d'établir l'existence de raisons majeures au sens de l'art. 49 LEtr, ainsi que le maintien de la communauté familiale en dépit des domiciles séparés. Une séparation de plus d'une année laisse présumer que la communauté familiale a cessé d'exister (ATF 2C_560/2011 du 20 février 2012, consid. 3). En l'espèce, le recourant ne fait valoir aucun motif qui justifierait l'existence de domiciles séparés. Depuis la séparation intervenue le 5 août 2011, il n'a pas pu apporter la preuve d'une reprise effective de la vie commune. Il ressort au surplus du dossier que l'épouse du recourant entend déposer une requête de divorce. La séparation datant désormais de plus d'une année, il y a lieu de retenir, en l'absence de preuves contraires apportées par le recourant, que l'union est définitivement rompue. c) Reste dès lors à examiner si le recourant peut prétendre au renouvellement de son autorisation de séjour en application de l'art. 50 LEtr. L'art. 50 al. 1 LEtr prévoit qu'après dissolution de la famille, le droit du conjoint à une autorisation de séjour et à la prolongation de sa durée de validité en vertu de l'art. 42 LEtr subsiste si l'union conjugale a duré trois ans et que l'intégration est réussie (let. a) ou si la poursuite du séjour en Suisse s'impose pour des raisons personnelles majeures (let. b). aa) La limite de trois ans prévue par l'art. 50 al. 1 let. a présente un caractère absolu, quand bien même la fin de la vie conjugale serait intervenue quelques jours ou semaines seulement avant l'expiration de ce délai (ATF 137 II 345 consid. 3.1.3 p. 347; ATF 136 II 113 consid. 3.3 p. 117ss). Cette période commence à courir à partir du début de la cohabitation des époux en Suisse et se termine au moment où les époux cessent d'habiter ensemble sous le même toit (ATF 136 II 113 consid. 3.2 in fine et 3.3 p. 117ss). En l'espèce, l'union conjugale a duré du 12 mai 2010, date à laquelle les époux se sont mariés, au 5 août 2011, date du prononcé des mesures protectrices de l'union conjugale. L'art. 50 al. 1 let. a LEtr exclut la possibilité de tenir compte d'une précédente union en Suisse. En tout état de cause, celle-ci représente moins d'une année, de sorte que l'exigence temporelle posée par l'art. 50 al. 1 let. a LEtr n'est à l'évidence pas remplie. bb) En vertu de l'art. 50 al. 1 let. b LEtr, le droit du  conjoint à l'octroi d'une autorisation de séjour et à la prolongation de sa durée de validité subsiste lorsque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A cet égard, c'est la situation personnelle de l'intéressé qui est décisive et non l'intérêt public que revêt une politique migratoire restrictive.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précité). Les motifs justifiant la poursuite du séjour en Suisse n'étant pas précisés de manière exhaustive, les autorités disposent d’une certaine marge d’appréciation (ATF 136 II 1 consid. 4 et 5 p. 2ss). Le Tribunal fédéral a mis en lumière un certain nombre de situations dans lesquelles la poursuite du séjour en Suisse peut s'imposer, qui ne sont toutefois pas exhaustives (ATF 136 II 1 consid. 5.2 p. 3 ss). Parmi celles-ci figure notamment les cas où la réintégration est fortement compromise dans le pays d'origine (ATF 137 II 345 consid. 3.2.2 p. 349; 136 II 1 consid. 5.3 p. 4; jurisprudence confirmée récemment in ATF 2C_993/2011 du 10 juillet 2012, consid. 3.1, destiné à la publication).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précité, consid. 2a). Lors de l'appréciation d'un cas personnel d'extrême gravité, il y a lieu de tenir compte de l'ensemble des circonstances du cas particulier.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Compte tenu de ses ressources, le recourant a été mis au bénéfice de l'assistance judiciaire par décision du 3 mai 2012.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Jean-Pierre Bloch peut être arrêtée, compte tenu de la liste des opérations et des débours produite, à un total de 1'317,60 fr., montant qui comprend 1'170 fr. d'honoraires (6 heures 30 à 180 fr.), 50 fr. de  débours et 97,60 fr. de TVA (au taux de 8%). L'indemnité du conseil d'office est supportée provisoirement par le canton (cf. art. 122 al. 1 let a du code de procédure civile du 19 décembre 2008 [CPC; RS 272], applicable par renvoi de l'art. 18 al. 5 LPA-VD), le recourant étant rendu attentif au fait qu'il est tenu de rembourser le montant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