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PE.2012.0130 vom 10. Juli 2012</w:t>
      </w:r>
    </w:p>
    <w:p>
      <w:r>
        <w:t>VD Tribunal cantonal, 2012-07-10, FR</w:t>
      </w:r>
    </w:p>
    <w:p>
      <w:r>
        <w:rPr>
          <w:b/>
        </w:rPr>
        <w:t xml:space="preserve">Quelle: </w:t>
      </w:r>
      <w:r>
        <w:t>https://mcp.opencaselaw.ch/entscheid/vd_omni_PE.2012.0130</w:t>
      </w:r>
    </w:p>
    <w:p>
      <w:r>
        <w:t>FR: VD_OMNI PE.2012.0130 du 10 juillet 2012</w:t>
      </w:r>
    </w:p>
    <w:p>
      <w:r>
        <w:t>IT: VD_OMNI PE.2012.0130 del 10 luglio 2012</w:t>
      </w:r>
    </w:p>
    <w:p>
      <w:pPr>
        <w:pStyle w:val="Heading2"/>
      </w:pPr>
      <w:r>
        <w:t>Regeste</w:t>
      </w:r>
    </w:p>
    <w:p>
      <w:r>
        <w:t>A. X.________ Y.________, B. Y.________/Service de la population (SPOP) | Confirmation du refus du SPOP de délivrer une autorisation de séjour à la recourante et à sa fille de père inconnu, ressortissantes brésiliennes. Pas de cas d'extrême gravité: la recourante est jeune, elle a gardé des liens avec le Brésil où elle a vécu jusqu'à ses 29 ans, elle ne souffre pas d'une atteinte sérieuse qui nécessiterait des soins indisponibles au Brésil. L'intérêt de l'enfant à connaître son père ne s'y oppose pas: les démarches en cours en vue de l'établissement de la paternité pourront être menées depuis le Brésil également. Pas de motif d'admission provisoire. Recours rejeté.</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En l'espèce, ressortissantes brésiliennes, les recourantes ne peuvent se prévaloir d'aucun traité qui leur conférerait un droit au séjour ou au travail en Suisse. Le recours s'examine dès lors uniquement au regard du droit interne, soit de la LEtr et de l' ordonnance du 24 octobre 2007 relative à l'admission, au séjour et à l'exercice d'une activité lucrative (OASA; RS 142.201).</w:t>
      </w:r>
    </w:p>
    <w:p>
      <w:r>
        <w:rPr>
          <w:b/>
        </w:rPr>
        <w:t>E. 2</w:t>
      </w:r>
    </w:p>
    <w:p>
      <w:r>
        <w:t>Les recourantes font valoir qu'elles remplissent les conditions d'une autorisation pour cas d'extrême gravité. 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reprend les principes de l'art. 13 let. f de l'ancienne ordonnance fédérale du 6 octobre 1986 limitant le nombre des étrangers (aOLE) abrogée le 1 er janvier 2008. On peut dès lors se référer à la jurisprudence y relative (Message du Conseil fédéral, FF 2002 III 3469, spéc. p. 3542; PE.2012.0043 du 8 mars 2012 consid. 3a; PE.2011.0319 du 9 janvier 2012 consid. 2a).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Les recourantes font également valoir l'intérêt majeur de l'enfant à connaître son père, des démarches en vue de l'établissement de la paternité étant en cours. Sur ce point, il convient de relever que même si elles seront rendues plus ardues, les démarches précitées pourront être menées depuis le Brésil également, notamment par l'intermédiaire de la curatrice actuelle de l'enfant. Il s'ensuit que le renvoi des recourantes ne contrevient pas à l'intérêt majeur de l'enfant à connaître son père. Au demeurant, force est de constater que celui-ci n'a toujours pas été déterminé plus de six ans après la naissance de l'enfant et alors que deux actions en reconnaissance de paternité se sont soldées par un échec. Enfin, on relève que la décision attaquée n'entraîne pas la séparation de la mère et de sa fille, toutes deux concernées par le renvoi.</w:t>
      </w:r>
    </w:p>
    <w:p>
      <w:r>
        <w:rPr>
          <w:b/>
        </w:rPr>
        <w:t>E. 4</w:t>
      </w:r>
    </w:p>
    <w:p>
      <w:r>
        <w:t>A titre subsidiaire, les recourantes concluent à ce que leur renvoi soit considéré comme contraire à l'art. 83 al. 1 et 4 LEtr. a) L'ODM peut admettre provisoirement en Suisse un étranger si l'exécution du renvoi n'est pas possible, pas licite ou ne peut être raisonnablement exigé (art. 83 al. 1 LEtr). L'exécution de la décision peut ne pas être raisonnablement exigée si le renvoi de l'étranger dans son pays d'origine ou de provenance le met concrètement en danger, par exemple en cas de guerre, de guerre civile, de violence généralisée ou de nécessité médicale (art. 83 al. 4 LEtr). Le renvoi du recourant doit également être examiné au regard du principe de non refoulement garanti par l'art. 3 de la Convention du 4 novembre 1950 de sauvegarde des droits de l’homme et des libertés fondamentales (CEDH; RS 0.101). La Cour européenne des droits de l'homme a admis que la mise à exécution, par les autorités de l'Etat d'accueil, d'une décision de renvoi d'un étranger pouvait, suivant les circonstances, se révéler contraire à l'art. 3 CEDH s'il existait un risque concret que celui-ci fût soumis, dans son pays de destination, à un traitement inhumain ou dégradant. Par conséquent, 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(ATAF C-498/2011 du 27 janvier 2011 consid. 4.2, et les références citées). b) En l'occurrence, les recourantes n'ont produit aucun élément permettant de penser qu'elles seraient exposées, en cas de renvoi au Brésil, à un risque concret d'y être mises en danger ou soumises à un traitement inhumain ou dégradant. En particulier, le fait qu'elles y seraient " exposées à une vie de misère " - bien qu'il soit regrettable - ne suffit pas à considérer qu'elles seraient visées personnellement, davantage que toute autre personne vivant dans cet Etat. En résumé, les recourantes ne remplissent pas les conditions d'un cas d'extrême gravité et rien ne s'oppose à leur renvoi dans leur pays d'origine, où la mère a conservé des attaches familiales et sociales et dont elle parle la langue.</w:t>
      </w:r>
    </w:p>
    <w:p>
      <w:r>
        <w:rPr>
          <w:b/>
        </w:rPr>
        <w:t>E. 5</w:t>
      </w:r>
    </w:p>
    <w:p>
      <w:r>
        <w:t>Il résulte de ce qui précède que le recours, manifestement mal fondé, doit être rejeté et la décision attaquée, confirmée, sans qu'il soit nécessaire de procéder à un échange d'écritures (art. 82 al. 1 de la loi du 28 octobre 2008 sur la procédure administrative [LPA-VD; RSV 173.36]). Vu les circonstances du cas, il se justifie de renoncer à prélever les frais judiciaires (art. 50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