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PE.2012.0121 vom 18. Juli 2012</w:t>
      </w:r>
    </w:p>
    <w:p>
      <w:r>
        <w:t>VD Tribunal cantonal, 2012-07-18, FR</w:t>
      </w:r>
    </w:p>
    <w:p>
      <w:r>
        <w:rPr>
          <w:b/>
        </w:rPr>
        <w:t xml:space="preserve">Quelle: </w:t>
      </w:r>
      <w:r>
        <w:t>https://mcp.opencaselaw.ch/entscheid/vd_omni_PE.2012.0121</w:t>
      </w:r>
    </w:p>
    <w:p>
      <w:r>
        <w:t>FR: VD_OMNI PE.2012.0121 du 18 juillet 2012</w:t>
      </w:r>
    </w:p>
    <w:p>
      <w:r>
        <w:t>IT: VD_OMNI PE.2012.0121 del 18 luglio 2012</w:t>
      </w:r>
    </w:p>
    <w:p>
      <w:pPr>
        <w:pStyle w:val="Heading2"/>
      </w:pPr>
      <w:r>
        <w:t>Regeste</w:t>
      </w:r>
    </w:p>
    <w:p>
      <w:r>
        <w:t>A. X.________ c/Service de la population (SPOP) | Confirmation du refus de l'autorité intimée d'entrer en matière sur une 4ème demande de réexamen du recourant: il est vrai que ni le SPOP dans ses décisons précédentes, ni la CDAP dans ses arrêts précédents ne se sont prononcés - à tout le moins pas expressément - sur l'application des art. 50 al. 1 let. a LEtr et 77 OASA; le recourant aurait toutefois pu et dû soulever ce moyen dans le cadre des procédures précédentes; pour le surplus, il n'invoque aucun changement dans sa situation personnelle, professionnelle et sociale depuis le dernier arrêt de la CDAP.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Sur le plan formel, le recourant invoque un défaut de motivation. a) Tel qu’il est garanti par l’art. 29 al. 2 de la Constitution fédérale du 18 avril 1999 de la Confédération suisse (Cst; RS 101), ainsi que par l'art. 27 al. 2 de la Constitution du 14 avril 2003 du Canton de Vaud (Cst-VD; RSV 101.01), le droit d’être entendu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GE.2010.0112 du 6 juin 2011). b) En l'espèce, il est vrai que la motivation de la décision attaquée est succincte. Elle mentionne néanmoins la teneur de l’art. 64 al. 1 let. a de la loi vaudoise du 20 octobre 2008 sur la procédure administrative (LPA-VD; 173.36) relatif aux conditions dans lesquelles une autorité administrative doit entrer en matière sur une demande de réexamen et relève que les arguments invoqués par le recourant ne constituent pas des motifs de réexamen. Elle était ainsi suffisante pour permettre au recourant de comprendre les raisons pour lesquelles le SPOP n'était pas entré en matière sur sa demande de réexamen (voir dans ce sens, les arrêts PE.2011.0443 du 28 mars 2012 et PE.2011.0372 du 24 janvier 2012 qui concernaient également des décisions du SPOP refusant d'entrer en matière sur des demandes de réexamen). Le droit d'être entendu du recourant n'a dès lors pas été violé.</w:t>
      </w:r>
    </w:p>
    <w:p>
      <w:r>
        <w:rPr>
          <w:b/>
        </w:rPr>
        <w:t>E. 3</w:t>
      </w:r>
    </w:p>
    <w:p>
      <w:r>
        <w:t>Sur le fond, il convient d'examiner si les arguments invoqués par le recourant dans ses lettres des 30 mars 2011, 13 janvier 2012 et 14 février 2012 constituent des motifs de réexamen. a) L'art. 64 LPA-VD est formulé en ces termes: "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prévue sous lettre a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(arrêt TA bernois du 8 octobre 1992, JAB 1993, p. 244 consid. 2a; ég. arrêts PE.2011.0443 et PE.2011.0372 précités). L'hypothèse prévue sous lettre b, couramment appelée révision au sens étroit (cf. Pierre Moor, Droit administratif, vol. II, 2 ème éd., Berne 2002, pp. 241 ss;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(arrêts PE.2011.0443 et PE.2011.0372 précités,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b) En l'espèce, le recourant a sollicité de l'autorité intimée dans ses lettres des 30 mars 2011, 13 janvier 2012 et 14 février 2012 qu'elle réexamine sa situation sous l'angle des art. 50 al. 1 let. a de la loi fédérale du 13 décembre 2005 sur les étrangers (LEtr; RS 142.20) et 77 de l'ordonnance fédérale du 24 octobre 2007 relative à l'admission, au séjour et à l'exercice d'une activité lucrative (OASA; RS 142.201). Il est vrai que ni le SPOP dans ses décisions précédentes ni la CDAP dans ses arrêts des 29 avril 2010 et 29 décembre 2011 ne se sont prononcés – à tout le moins pas expressément – sur l'application de ces dispositions. Le recourant aurait toutefois pu et dû soulever ce moyen dans les procédure précédentes. Pour le surplus, il n'invoque aucun changement dans sa situation personnelle, professionnelle et sociale depuis le dernier arrêt de la CDAP. Le simple écoulement du temps et une évolution normale de l'intégration en Suisse n'entraînent nullement une modification des circonstances de nature à admettre une reconsidération (ATF 2A.180/200 du 14 août 2000; ég. arrêt PE.2011.0425 du 10 janvier 2012. Faute d'éléments nouveaux déterminants, c'est ainsi à juste titre que l'autorité intimée a rejeté la demande du recourant.</w:t>
      </w:r>
    </w:p>
    <w:p>
      <w:r>
        <w:rPr>
          <w:b/>
        </w:rPr>
        <w:t>E. 4</w:t>
      </w:r>
    </w:p>
    <w:p>
      <w:r>
        <w:t>Les considérants qui précèdent conduisent au rejet du recours et à la confirmation de la décision attaquée. Le recourant, qui succombe, supportera les frais de justice (art. 49, 91 et 99 LPA-VD). Il n'aura par ailleurs pas droit à l'allocation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