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PE.2012.0120 vom 22. August 2012</w:t>
      </w:r>
    </w:p>
    <w:p>
      <w:r>
        <w:t>VD Tribunal cantonal, 2012-08-22, FR</w:t>
      </w:r>
    </w:p>
    <w:p>
      <w:r>
        <w:rPr>
          <w:b/>
        </w:rPr>
        <w:t xml:space="preserve">Quelle: </w:t>
      </w:r>
      <w:r>
        <w:t>https://mcp.opencaselaw.ch/entscheid/vd_omni_PE.2012.0120</w:t>
      </w:r>
    </w:p>
    <w:p>
      <w:r>
        <w:t>FR: VD_OMNI PE.2012.0120 du 22 août 2012</w:t>
      </w:r>
    </w:p>
    <w:p>
      <w:r>
        <w:t>IT: VD_OMNI PE.2012.0120 del 22 agosto 2012</w:t>
      </w:r>
    </w:p>
    <w:p>
      <w:pPr>
        <w:pStyle w:val="Heading2"/>
      </w:pPr>
      <w:r>
        <w:t>Regeste</w:t>
      </w:r>
    </w:p>
    <w:p>
      <w:r>
        <w:t>A. X.________/Service de la population (SPOP) | Refus d'admission en vue d'une formation. Rejet d'une demande de réexamen par le SPOP. L'enseignement au gymnase du soir visé par le recourant ne peut lui permettre d'être admis en Suisse en vue d'une formation, dans la mesure où il est dispensé le soir durant nettement moins de 20 périodes par semaine. Absence de circonstances constituant un cas individuel d'une extrême gravité. Pas d'autres faits nouveaux importants justifiant un réexamen. Rejet du recours.</w:t>
      </w:r>
    </w:p>
    <w:p>
      <w:pPr>
        <w:pStyle w:val="Heading2"/>
      </w:pPr>
      <w:r>
        <w:t>Erwägungen</w:t>
      </w:r>
    </w:p>
    <w:p>
      <w:r>
        <w:rPr>
          <w:b/>
        </w:rPr>
        <w:t>E. 1</w:t>
      </w:r>
    </w:p>
    <w:p>
      <w:r>
        <w:t>Le recours a été formé en temps utile et selon les formes prescrites (art. 79, 95 et 99 LPA-VD) par un étranger pouvant invoquer un intérêt digne de protection à l'annulation ou à la modification de la décision attaquée (cf. art. 75 LPA-VD). Il est donc recevable et il y a lieu d'entrer en matière.</w:t>
      </w:r>
    </w:p>
    <w:p>
      <w:r>
        <w:rPr>
          <w:b/>
        </w:rPr>
        <w:t>E. 2</w:t>
      </w:r>
    </w:p>
    <w:p>
      <w:r>
        <w:t>p. 13 s.; 120 Ib 257 consid. 1d p. 261). De plus, le principe de protection de la vie familiale ne confère pas un droit inconditionnel à l’octroi d’une autorisation de séjour. Tel est notamment le cas lorsque l'étranger a lui-même décidé de vivre dans un autre pays, séparé de sa famille, lorsqu'aucun intérêt familial prépondérant ni de justes motifs ne sont susceptibles de justifier le regroupement familial, et lorsque l'autorité n'entrave pas le maintien des contacts entretenus jusque-là (ATF 125 II 585; 122 II 385; 119 Ib 91). En l'occurrence, il n'y a donc pas non plus de ce point de vue de fait nouveau important qui justifierait un réexamen de la première décision de refus d'une admission en Suisse dans le but d'accomplir une formation. f) Il découle de ce que précède que c'est en conformité avec les exigences du droit fédéral (art. 27, 30 LEtr en particulier) que le SPOP n'a pas accordé d'autorisation au recourant dans le cadre de la procédure ouverte par la requête du 12 décembre 2011, traitée comme une demande de réexamen de la décision précédente.</w:t>
      </w:r>
    </w:p>
    <w:p>
      <w:r>
        <w:rPr>
          <w:b/>
        </w:rPr>
        <w:t>E. 3</w:t>
      </w:r>
    </w:p>
    <w:p>
      <w:r>
        <w:t>Il s'ensuit que le recours, entièrement mal fondé, doit être rejeté, ce qui entraîne la confirmation de la décision attaquée. Les frais sont mis à la charge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