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PE.2012.0119 vom 13. März 2013</w:t>
      </w:r>
    </w:p>
    <w:p>
      <w:r>
        <w:t>VD Tribunal cantonal, 2013-03-13, FR</w:t>
      </w:r>
    </w:p>
    <w:p>
      <w:r>
        <w:rPr>
          <w:b/>
        </w:rPr>
        <w:t xml:space="preserve">Quelle: </w:t>
      </w:r>
      <w:r>
        <w:t>https://mcp.opencaselaw.ch/entscheid/vd_omni_PE.2012.0119</w:t>
      </w:r>
    </w:p>
    <w:p>
      <w:r>
        <w:t>FR: VD_OMNI PE.2012.0119 du 13 mars 2013</w:t>
      </w:r>
    </w:p>
    <w:p>
      <w:r>
        <w:t>IT: VD_OMNI PE.2012.0119 del 13 marzo 2013</w:t>
      </w:r>
    </w:p>
    <w:p>
      <w:pPr>
        <w:pStyle w:val="Heading2"/>
      </w:pPr>
      <w:r>
        <w:t>Regeste</w:t>
      </w:r>
    </w:p>
    <w:p>
      <w:r>
        <w:t>A. X._______ c/Service de l'emploi, Service de la population (SPOP) | Ressortissant russe dirigeant un établissement public à Montreux qu'il a sauvé de la faillite en procédant à de substantiels investissements. Refus du SPOP de lui délivrer une autorisation de travail annulé par la CDAP, les conditions de l'art. 19 LEtr devant être considérées comme réunies.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p.284 ; 493 consid. 3.1 p. 497/498 ; 128 II 145 consid. 1.1.1 p. 148 et les arrêts cités). Le recourant, ressortissant russe, ne peut pas invoquer de traité en sa faveur. Le recours s’examine dès lors uniquement au regard du droit interne, soit de la loi fédérale du 16 décembre 2005 sur les étrangers (LEtr ; RS 142.20) et de ses dispositions d’application.</w:t>
      </w:r>
    </w:p>
    <w:p>
      <w:r>
        <w:rPr>
          <w:b/>
        </w:rPr>
        <w:t>E. 2</w:t>
      </w:r>
    </w:p>
    <w:p>
      <w:r>
        <w:t>a) L’art. 19 LEtr prévoit ce qui suit : « Un étranger peut être admis en vu de l’exercice d’une activité lucrative indépendante aux conditions suivantes : a. son admission sert les intérêts économiques du pays ; b. les conditions financières et les exigences relatives à l’exploitation de l’entreprise sont remplies ; c. les conditions fixées aux art. 20 et 23 à 25 sont remplies. »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de l’ordonnance du 24 octobre 2007 relative à l’admission, au séjour et à l’exercice d’une activité lucrative (OASA ; RS 142.201) précise que les cantons peuvent délivrer des autorisations de séjour pour des séjours en vue d’exercer une activité lucrative d’une durée supérieure à un an, dans les limites des nombres maximums fixés à l’annexe 2 ch. 1, let. a. 23 LEtr.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 D’après les directives de l’Office fédéral des migrations (ODM) dans le domaine des étrangers (séjour avec activité lucrative, état au 1 er décembre 2012), les requêtes tendant à l’octroi d’une autorisation de séjour pour activité lucrative indépendante sont soumises à un examen des conditions relatives au marché du travail selon l’art. 19 LEtr et peuvent être admises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ou génère de nouveaux mandats pour l’économie helvétique (ch. 4.7.2.1).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(ch. 4.7.2.3). Selon les directives, les qualifications personnelles peuvent avoir été obtenues, selon la profession ou la spécialisation à différents niveaux : diplôme universitaire ou d’une haute école spécialisée ; formation professionnelle spéciale assortie de plusieurs années d’expériences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(ch. 4.3.4). c) En l’espèce, l’autorité intimée a fondé son refus sur l’inexpérience du recourant dans le secteur de la restauration, sur l’insuffisance de l’intérêt économique de son projet pour le canton de Vaud, sur l’absence d’investissements importants dans un domaine économique à haute valeur ajouté et sur la modicité du contingent d’autorisation de séjour et de travail à sa disposition. Le recourant, au  bénéfice d’une formation universitaire, dispose d’une expérience professionnelle dans le domaine de la gestion d’établissements publics acquise dans son pays d’origine. En Suisse, il a obtenu le 26 janvier 2012 un certificat de B._________ en matière de sécurité au travail et de protection de la santé dans l’hôtellerie et la restauration et a suivi avec succès un cours en matière de droit du travail, d’assurances sociales et de connaissances du droit. Il maîtrise la langue anglaise et a suivi des cours de français, pendant un an, à 2********. Il est décrit par les responsables de la promotion économique de la Riviera comme un entrepreneur de qualité, disposant d’une bonne réputation et des moyens financiers nécessaires pour mener à bien son projet. Il dispose donc des qualifications professionnelles requises pour exploiter un établissement public. S’agissant de l’intérêt économique du projet du recourant, il est établi que celui-ci, en investissant dans l’acquisition du restaurant A.________, a permis d’éviter la fermeture de l’établissement et de sauvegarder ainsi des places de travail menacées. Selon promove.ch, il a en outre engagé du personnel qualifié et de nationalité suisse et a créé huit emplois. En tissant des liens avec des « tours operators » le recourant a en outre favorisé le développement de l’offre touristique de la ville de 2********. A cet égard, il bénéficie du plein soutien de promove.ch, organisation locale la mieux placée pour juger des retombées économiques de son activité. Il n’est par ailleurs pas contesté que le recourant a procédé à d’importants investissements destinés à l’acquisition et à la pérennisation du restaurant A.________. L’exploitation d’un établissement public ne relève certes pas d’une activité procurant généralement une haute valeur ajoutée. L’on ne saurait cependant systématiquement réserver l’octroi d’autorisations de séjour et de travail à des investisseurs de certains secteurs de pointe de la science ou de l’économie. D’autres domaines d’activité, moins prestigieux, doivent pouvoir ponctuellement en bénéficier aussi. Pour ce qui est de l’exiguïté du contingent cantonal, la cour de céans, sans minimiser les difficultés de sélection auquel le SDE est confronté, a jugé à plusieurs reprises que ce critère ne constituait pas, en tant que tel, un motif pour rejeter valablement une requête de prise d’emploi (PE 2010.0196 du 16 septembre 2010 consid. 4).</w:t>
      </w:r>
    </w:p>
    <w:p>
      <w:r>
        <w:rPr>
          <w:b/>
        </w:rPr>
        <w:t>E. 3</w:t>
      </w:r>
    </w:p>
    <w:p>
      <w:r>
        <w:t>Compte tenu de l’ensemble des circonstances du cas d’espèce, il convient d’admettre que le recourant répond aux conditions posées par l’article 19 LEtr. La décision attaquée doit en conséquence être annulée, le SDE étant invité à formuler un préavis économique positif à l’intention du SPOP en vue de l’octroi de l’autorisation de séjour et de travail sollicitée. Obtenant gain de cause, le recourant, assisté par un mandataire professionnel, a droit à des dépens (art. 49 et 55 LPA-VD).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