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PE.2012.0106 vom 30. August 2012</w:t>
      </w:r>
    </w:p>
    <w:p>
      <w:r>
        <w:t>VD Tribunal cantonal, 2012-08-30, FR</w:t>
      </w:r>
    </w:p>
    <w:p>
      <w:r>
        <w:rPr>
          <w:b/>
        </w:rPr>
        <w:t xml:space="preserve">Quelle: </w:t>
      </w:r>
      <w:r>
        <w:t>https://mcp.opencaselaw.ch/entscheid/vd_omni_PE.2012.0106</w:t>
      </w:r>
    </w:p>
    <w:p>
      <w:r>
        <w:t>FR: VD_OMNI PE.2012.0106 du 30 août 2012</w:t>
      </w:r>
    </w:p>
    <w:p>
      <w:r>
        <w:t>IT: VD_OMNI PE.2012.0106 del 30 agosto 2012</w:t>
      </w:r>
    </w:p>
    <w:p>
      <w:pPr>
        <w:pStyle w:val="Heading2"/>
      </w:pPr>
      <w:r>
        <w:t>Regeste</w:t>
      </w:r>
    </w:p>
    <w:p>
      <w:r>
        <w:t>A. X.________ c/Département de l'économie et du sport, Service de la population (SPOP) | Ressortissant italien, arrivé en Suisse en 1975 à l'âge de 17 ans, condamné à une peine privative de liberté de huit ans pour avoir abusé sexuellement de sa fille pendant près de dix ans. Confirmation de la révocation de son autorisation d'établissement. Compte tenu de la gravité des infractions commises et de l'importance des biens juridiques en jeu, le risque de récidive demeure trop élevé pour qu'on puisse s'en accomoder. La révocation apparaît également justifiée sous l'angle du principe de la proportionnalité, en dépit de la très longue durée de son séjour en Suisse.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à titre de mesures d'instruction, la tenue d'une audience, en vue d'entendre son frère, sa belle-soeur, ainsi que ses deux soeurs vivant en Suisse.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w:t>
      </w:r>
    </w:p>
    <w:p>
      <w:r>
        <w:rPr>
          <w:b/>
        </w:rPr>
        <w:t>E. 2.1</w:t>
      </w:r>
    </w:p>
    <w:p>
      <w:r>
        <w:t>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il apparaît que, par le biais des auditions requises, le recourant souhaite démontrer qu'il est très proche de son frère et de ses soeurs, qui viennent régulièrement lui rendre visite en prison, et qu'il ne connaît personne en Italie, si ce n'est sa mère et une soeur handicapée. Ces éléments ne sont toutefois pas contestés en tant que tels par l'autorité intimée. Dans ces conditions, on ne voit pas en quoi la tenue d'une audience serait de nature à apporter des éléments déterminants pour l'issue du litige. Il n'a dès lors pas été donné suite à la requête du recourant, le tribunal estimant, par une appréciation anticipée de ce moyen de preuve, qu'une telle audience ne saurait modifier la conviction qu'il s'est forgé sur la base des pièces figurant au dossier.</w:t>
      </w:r>
    </w:p>
    <w:p>
      <w:r>
        <w:rPr>
          <w:b/>
        </w:rPr>
        <w:t>E. 3</w:t>
      </w:r>
    </w:p>
    <w:p>
      <w:r>
        <w:t>a) Ressortissant italien,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2C_473/2011 du 17 octobre 2011 consid. 2.1). Aux termes de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(ATF 135 II 377 consid. 4.2 p. 380 s.) - ou a fait l'objet d'une mesure pénale prévue aux art. 64 ou 61 CP (art. 62 let. b LEtr).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exclu ni par l'ALCP, ni par la CEDH (ATF 130 II 176 consid. 4.4 p. 189 s. et les références).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 2A.308/2004 du 4 octobre 2004 consid. 3.3 et les références).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w:t>
      </w:r>
    </w:p>
    <w:p>
      <w:r>
        <w:rPr>
          <w:b/>
        </w:rPr>
        <w:t>E. 4</w:t>
      </w:r>
    </w:p>
    <w:p>
      <w:r>
        <w:t>a) En l'espèce, le recourant a été condamné le 28 janvier 2010 à une peine privative de liberté de 8 ans pour actes d'ordre sexuel avec des enfants, contrainte sexuelle, viol, actes d'ordre sexuel commis sur une personne incapable de discernement ou de résistance, pornographie et inceste. Par ses agissements, il tombe incontestablement sous le coup des motifs de révocation prévus aux art. 62 let. b et 63 al. 1 let. b LEtr. Reste à examiner si la révocation de son autorisation d'établissement se justifie sous l'angle des conditions dont l'ALCP fait dépendre la limitation des droits qu'il confère, ainsi que du principe de proportionnalité (ATF 2C_473/2011 précité). b) Les faits commis par le recourant sont particulièrement odieux. En effet, pendant près de dix ans, il a, à maintes reprises, abusé sexuellement de sa fille, les pratiques allant en s'aggravant au fur et à mesure de la croissance et de la transformation de celle-ci. Oubliant tout devoir parental, toute limite entre générations et toute morale fondamentale de notre société, il s'est servi d'elle, l'a manipulée et culpabilisée par des discours tordus, pour satisfaire ses besoins sexuels et pour combler son manque de femme. En outre, il a commis à une reprise un attouchement sur une amie de sa fille. Compte tenu de la gravité de ces agissements et de l'importance des biens juridiques en jeu, il y a lieu d'être spécialement rigoureux dans l'évaluation du risque de récidive. Le recourant a été soumis à une expertise psychiatrique dans le cadre de la procédure ayant abouti à sa condamnation. L'expert a posé le diagnostic de "pédophilie" . Il a relevé dans son rapport que, si le recourant reconnaissait les faits, il tendait toutefois à les banaliser et à les minimiser, son discours étant marqué par une "inversion des rôles" ( "c'était pour elle, elle me le demandait, je n'ai pas osé refusé lorsqu'elle me le demandait ") et par une "distorsion relationnelle massive" . Invité à se prononcer sur le risque de récidive, il a indiqué qu'on ne pouvait exclure un tel risque que ce soit envers sa fille, en raison principalement des distorsions relationnelles sévères que l'intéressé instaure et dont sa fille se trouve être la victime, ou d'autres victimes. A cet égard, l'attouchement commis sur une amie de sa famille, même s'il est comparativement de peu de gravité, se révèle inquiétant, comme l'a souligné le Tribunal correctionnel dans son jugement, puisqu'il laisse penser que le recourant est capable de s'en prendre à toute personne entrant dans son champ de gravitation, et non uniquement à sa fille. Le recourant a certes entrepris une psychothérapie dès son incarcération. Lors de l'audience pénale, l'expert s'est montré toutefois réservé sur les chances d'un succès d'un tel traitement, qui devrait de toute manière durer plusieurs années. Le rapport établi le 29 juillet 2011 par Service de psychiatrie des EPO ne permet pas d'être davantage optimiste. Il mentionne en effet que le recourant ne se sent pas encore prêt à travailler sur ses émotions et son mode de fonctionnement psychique (question 4), ce qui démontre une réticence à l'introspection comme l'a relevé très justement l'autorité intimée. Il relève en outre que le recourant a une idée bien précise de ce qui l'a conduit à se retrouver dans la situation d'abus avec sa fille et qu'il a pour l'instant de la peine à entendre une autre version que la sienne (question 6). Par ailleurs, le médecin-psychiatre des EPO reconnaît que, si, dans l'idéal, l'objectif de la psychothérapie serait d'aider le recourant à reconnaître sa responsabilité dans l'instauration de la situation d'abus, son emprise sur sa victime ainsi que ses pulsions et angoisses, il s'agira, plus réalistement, d'aider le patient à se rapprocher de son monde émotionnel et à accepter de réfléchir sur son mode de fonctionnement psychique (question 5). Le recourant ne pourra certes pas obtenir une libération conditionnelle avant le 5 juin 2014. Il paraît toutefois peu probable, au vu des rapports de l'expert et du Service de psychiatrie des EPO, qu'il évolue de manière radicale en un peu moins de deux ans. Dans un arrêt récent du 6 juin 2011 (ATF 137 II 233 consid. 5.2.4), le Tribunal fédéral a rappelé que la pédophilie était difficilement guérissable. Il a jugé dans ce contexte qu'il n'était pas contraire au droit de statuer sur l'expulsion le plus tôt possible, avant même que la peine ou la mesure ait fini d'être exécutée. Au regard de ces éléments, le tribunal estime que le risque de récidive demeure trop élevé pour qu'on puisse s'en accommoder, compte tenu de la gravité des infractions commises et de l'importance des biens juridiques en jeu. Ce risque représente une menace actuelle pour l'ordre public, qui justifie de limiter les droits conférés par l'ALCP, conformément à l'art. 5 par. 1 annexe I ALCP. c) En ce qui concerne la proportionnalité de la mesure, il faut opposer à la lourde condamnation infligée le fait que le recourant vit en Suisse depuis un peu plus de trente-six ans et qu'il est très proche de son frère et de deux de ses soeurs, qui vivent également dans notre pays. Par ailleurs, il ne connaît personne en Italie, si ce n'est sa mère, âgée de 79 ans, et une soeur handicapée. En outre, compte tenu de son âge, une réintégration professionnelle dans son pays d'origine ne semble de prime abord pas évidente. On ne saurait ainsi sous-estimer les difficultés auxquelles le recourant serait confronté en cas de renvoi vers l'Italie. Toutefois, compte tenu de l'extrême gravité des actes commis et de la lourde peine prononcée, ces éléments ne sont pas suffisants pour faire obstacle à un renvoi. L'intérêt public à éloigner le recourant de Suisse prime ainsi sur son intérêt privé à y demeurer. La révocation de l'autorisation d'établissement de l'intéressé respecte dès lors le principe de proportionnalité.</w:t>
      </w:r>
    </w:p>
    <w:p>
      <w:r>
        <w:rPr>
          <w:b/>
        </w:rPr>
        <w:t>E. 5</w:t>
      </w:r>
    </w:p>
    <w:p>
      <w:r>
        <w:t>Les considérants qui précèdent conduisent au rejet du recours et à la confirmation de la décision attaquée. L'arrêt sera rendu sans frais, ni allocation de dépens.</w:t>
      </w:r>
    </w:p>
    <w:p>
      <w:r>
        <w:rPr>
          <w:b/>
        </w:rPr>
        <w:t>E. 6</w:t>
      </w:r>
    </w:p>
    <w:p>
      <w:r>
        <w:t>Compte tenu de ses ressources, le recourant a été mis au bénéfice de l'assistance judiciaire par décision du 30 mars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Yann Jaillet peut être arrêtée, compte tenu de la liste des opérations et des débours, à un montant total de 2'144 fr. 65, correspondant à 1'890 fr. d'honoraires, 95 fr. 80 de débours et 158 fr. 85 de TVA (8%).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