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PE.2012.0095 vom 27. Juli 2012</w:t>
      </w:r>
    </w:p>
    <w:p>
      <w:r>
        <w:t>VD Tribunal cantonal, 2012-07-27, FR</w:t>
      </w:r>
    </w:p>
    <w:p>
      <w:r>
        <w:rPr>
          <w:b/>
        </w:rPr>
        <w:t xml:space="preserve">Quelle: </w:t>
      </w:r>
      <w:r>
        <w:t>https://mcp.opencaselaw.ch/entscheid/vd_omni_PE.2012.0095</w:t>
      </w:r>
    </w:p>
    <w:p>
      <w:r>
        <w:t>FR: VD_OMNI PE.2012.0095 du 27 juillet 2012</w:t>
      </w:r>
    </w:p>
    <w:p>
      <w:r>
        <w:t>IT: VD_OMNI PE.2012.0095 del 27 luglio 2012</w:t>
      </w:r>
    </w:p>
    <w:p>
      <w:pPr>
        <w:pStyle w:val="Heading2"/>
      </w:pPr>
      <w:r>
        <w:t>Regeste</w:t>
      </w:r>
    </w:p>
    <w:p>
      <w:r>
        <w:t>A. X.________ c/Service de la population (SPOP) | Ressortissant kosovar mis au bénéfice d'une autorisation de séjour dans le canton de Neuchâtel au titre de regroupement familial suite à son mariage avec une ressortissante italienne titulaire d'une autorisation d'établissement. Entendue dans le cadre d'une affaire pénale dirigée contre son mari, l'épouse déclare que leur union était en réalité un mariage de complaisance, le couple n'ayant jamais vécu ensemble ni entretenu de relations intimes. Procédure dans le canton de Neuchâtel en vue de la révocation du permis de séjour de l'intéressé. Demande du mari de changer de canton et de venir s'établir dans le canton de Vaud. Décision du SPOP de révocation de l'autorisation de séjour octroyée. Recours auprès de la CDAP rejeté. Le recourant ne peut pas se prévaloir de son mariage, qui était une union de complaisance. L'union conjugale n'ayant au demeurant pas duré plus de trois ans, le recourant ne peut tirer aucun droit de cette durée. Absence de raisons personnelles majeures justifiant la poursuite du séjour du recourant en Suisse. Enfin, la situation de l'intéressé ne constitue pas un cas de rigueur, son retour au Kosovo ne présentant pas de difficultés particulières.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Selon l'art. 62 let. d LEtr, l'autorité compétente peut révoquer une autorisation, à l'exception de l'autorisation d'établissement, si l'étranger ne respecte pas les conditions dont la décision est assortie.</w:t>
      </w:r>
    </w:p>
    <w:p>
      <w:r>
        <w:rPr>
          <w:b/>
        </w:rPr>
        <w:t>E. 3</w:t>
      </w:r>
    </w:p>
    <w:p>
      <w:r>
        <w:t>Le recourant se fonde sur son mariage avec B. X.________ pour justifier son droit à l'octroi d'une autorisation de séjour. a) Selon l'art. 2 al. 2 LEtr, cette loi n'est applicable aux ressortissants des Etats membres de la Communauté européenne et aux membres de leur famille que dans la mesure où l'ALCP n'en dispose pas autrement ou lorsque la loi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Selon le Tribunal fédéral,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La question de savoir si l'entrée en vigueur de la LEtr modifie ou non cette jurisprudence, en subordonnant, cas échéant, le droit à l'octroi d'une autorisation de séjour à l'exigence d'un ménage commun, n'a en revanche pas besoin d'être tranchée en l'espèce, le droit du conjoint étranger de séjourner en Suisse pendant toute la durée formelle du mariage n'étant de toute façon pas absolu. En effet, selon le Tribunal fédéral (cf. notamment ATF 2A.725/2006 du 23 mars 2007; 2C_325/2010 du 11 octobre 2010), d'une part l'art. 3 al. 1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aLSEE, afin de garantir le respect du principe de non-discrimination inscrit à l'art. 2 ALCP et d'assurer une certaine cohésion d'ensemble au système. Or,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128 II 145 consid.2; 127 II 49 consid. 5a et 5d). Les principes développés par le Tribunal fédéral en matière d'abus de droit s'appliquent également à la LEtr (Directives de l'Office fédéral des migrations (ODM) en matière de regroupement familial, version 1.7.09, n. 6.14; arrêt PE.2008.0286 du 3 décembre 2008). Il y a abus de droit notamment lorsqu'une instiution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(cf. ATF 131 II 265 consid. 4.2). b) En l'espèce, le mariage célébré entre le recourant et B. X.________ était, de l'aveu même de cette dernière, un mariage de complaisance, donc fictif. Le couple n'a jamais fait ménage commun ni entretenu de relations intimes. Le recourant ne le conteste pas. Ainsi, cette union n'a en réalité existé que formellement. Le recourant ne saurait par conséquent se prévaloir de ce mariage pour s'opposer à la décision de l'autorité intimée, sous peine de commettre un abus de droit. Le recourant ne peut ainsi tirer un droit à une autorisation de séjour de l'ALCP.</w:t>
      </w:r>
    </w:p>
    <w:p>
      <w:r>
        <w:rPr>
          <w:b/>
        </w:rPr>
        <w:t>E. 4</w:t>
      </w:r>
    </w:p>
    <w:p>
      <w:r>
        <w:t>Le recourant fonde également un droit à la délivrance de l'autorisation requise sur l'art. 50 al. 1 er LEtr, considérant qu'il réalise les conditions de durée et d'intégration, mais également d'un cas de rigueur.</w:t>
      </w:r>
    </w:p>
    <w:p>
      <w:r>
        <w:rPr>
          <w:b/>
        </w:rPr>
        <w:t>E. 5</w:t>
      </w:r>
    </w:p>
    <w:p>
      <w:r>
        <w:t>a) Selon l'art. 50 al. 1er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S'agissant du conjoint étranger du titulaire d'une autorisation de séjour, la même réglementation est prévue à l'art. 77 al. 1 de l'ordonnance du 24 octobre 2007 relative à l'admission, au séjour et à l'exercice d'une activité lucrative (OASA; RS 142.201). Selon l’art. 50 al. 2 LEtr et 77 al. 2 OASA, les raisons personnelles majeures sont notamment données lorsque le conjoint est victime de violence conjugale et que la réintégration sociale dans le pays d’origine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arrêts du TF 2C_759/2010 du 28 janvier 2011 consid. 5.2.1 et 2C_376/2010 du 18 août 2010 consid. 6.3.1).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Le délai de trois ans mentionné à l'alinéa 1 est un délai absolu (arrêt du TF 2C_207/2011). La vie commune avant le mariage ne compte pas et est seule décisive la durée de l'union conjugale effectivement vécue en Suisse (ATF 136 II 113 consid. 3.3) b) En l'espèce, le mariage du recourant a été célébré le 20 mars 2007 au Kosovo. Comme indiqué plus haut, l'union conjugale entre les époux a été inexistante, puisqu'il s'agissait en réalité d'un mariage fictif, de complaisance. L'épouse du recourant a confirmé – et le recourant ne l'a d'ailleurs pas contesté – que le couple n'a jamais fait ménage commun. L'union conjugale n'ayant pas atteint la limite absolue de trois ans, le recourant ne saurait se prévaloir de l'art. 50 al. 1 let. a LEtr. c) Le recourant fonde l'existence de raisons personnelles majeures sur le fait qu'il est parfaitement intégré en Suisse et que cela fait 6 ans qu'il y vit de manière ininterrompue. A l'évidence, de tels éléments, s'ils méritent d'être pris en compte dans l'examen de la situation du recourant (et même si le séjour en Suisse du recourant est, contrairement à ce qu'il indique, non pas de plus de 6 ans mais inférieur à 5 ans), ne constituent pas encore des circonstances permettant de retenir chez le recourant l'existence de raisons personnelles majeures imposant la poursuite de son séjour en Suisse. L'intégration du recourant ne sort pas vraiment de l'ordinaire. La durée de son séjour ne permet pas de conclure à un enracinement particulier en Suisse. Par ailleurs, le recourant n'allègue pas avoir été victime de violences conjugales. Pas plus qu'il ne soutient que sa réintégration sociale dans son pays de provenance, et en l'occurrence d'origine, serait compromise. On rappelle que le recourant est âgé de 39 ans, qu'il n'a pas eu d'enfant avec son épouse, que cela fait moins de 5 ans qu'il réside en Suisse, que ses deux enfants, âgés de 10 et 7 ans, vivent au Kosovo et que venant de constituter sa propre société active dans la construction, il est parfaitement en mesure d'exercer une activité professionnelle rémunératrice. Il s'ensuit que sur les plans personnel, économique et social, il n'est pas déraisonnable d'exiger du recourant qu'il retourne vivre dans son pays d'origine. On ne voit pas en quoi sa réintégration y serait "à l'évidence" compromise. Il résulte de ce qui précède que les conditions posées à l'art. 50 al. 1 let. b LEtr ne sont pas remplies.</w:t>
      </w:r>
    </w:p>
    <w:p>
      <w:r>
        <w:rPr>
          <w:b/>
        </w:rPr>
        <w:t>E. 6</w:t>
      </w:r>
    </w:p>
    <w:p>
      <w:r>
        <w:t>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b) En l'occurrence, on ne discerne pas en quoi la situation du recourant serait constitutive d'un cas de rigueur. Le recourant se borne à mettre en avant son intégration qu'il qualifie de réussie ainsi que la durée de son séjour en Suisse. C'est à l'évidence largement insuffisant en regard des conditions restrictives mises à la reconnaissance d'un cas de rigueur. Ainsi, le recourant, qui est arrivé en Suisse il y a moins de 5 ans, ne peut se prévaloir d'une très longue durée de séjour en Suisse. Il ne justifie pas d'une intégration sociale particulièrement poussée. D'un point de vue professionnel, il vient semble-t-il juste de se mettre à son compte, de sorte qu'on ne saurait déjà parler d'une réussite professionnelle, et encore moins de qualifier celle-ci de remarquable. Enfin, les enfants du recourant ne résident pas en Suisse, mais au Kosovo. Le recourant ne se prévaut pas non plus de circonstances particulières qui l'exposeraient à un danger en cas de retour au Kosovo, pays dans lequel il a vécu jusqu'à l'âge de 33 ans et où se trouvent ses enfants. Il résulte de ce qui précède que le retour du recourant dans son pays n'aura pour lui pas de graves conséquences et il ne devrait avoir aucune difficulté à s'y réintégrer. Le recourant ne se trouve ainsi pas dans un cas individuel d'extrême gravité, qui imposerait la poursuite de son séjour en Suisse conformément aux art. 30 al. 1 let. b LEtr et 31 OASA.</w:t>
      </w:r>
    </w:p>
    <w:p>
      <w:r>
        <w:rPr>
          <w:b/>
        </w:rPr>
        <w:t>E. 7</w:t>
      </w:r>
    </w:p>
    <w:p>
      <w:r>
        <w:t>Il résulte de ce qui précède que mal fondé, le recours doit être rejeté et la décision attaquée, confirmée. Les frais sont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