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PE.2012.0089 vom 30. Juli 2012</w:t>
      </w:r>
    </w:p>
    <w:p>
      <w:r>
        <w:t>VD Tribunal cantonal, 2012-07-30, FR</w:t>
      </w:r>
    </w:p>
    <w:p>
      <w:r>
        <w:rPr>
          <w:b/>
        </w:rPr>
        <w:t xml:space="preserve">Quelle: </w:t>
      </w:r>
      <w:r>
        <w:t>https://mcp.opencaselaw.ch/entscheid/vd_omni_PE.2012.0089</w:t>
      </w:r>
    </w:p>
    <w:p>
      <w:r>
        <w:t>FR: VD_OMNI PE.2012.0089 du 30 juillet 2012</w:t>
      </w:r>
    </w:p>
    <w:p>
      <w:r>
        <w:t>IT: VD_OMNI PE.2012.0089 del 30 luglio 2012</w:t>
      </w:r>
    </w:p>
    <w:p>
      <w:pPr>
        <w:pStyle w:val="Heading2"/>
      </w:pPr>
      <w:r>
        <w:t>Regeste</w:t>
      </w:r>
    </w:p>
    <w:p>
      <w:r>
        <w:t>X.________ SA, A. Y.________/Service de la population (SPOP), Service de l'emploi Contrôle du marché du travail et | Conclusion d'un contrat d'apprentissage avec un étranger dépourvu d'autorisation de séjour et de travail en Suisse. Confirmation du rétablissement de l'ordre légal, de l'avertissement notifié à l'employeur et de l'injonction faite à celui-ci de cesser avec effet immédiat l'occupation de l'apprenti sans papiers. Au surplus, ni la commission d'apprentissage, ni aucun autre service dépendant du département concerné, ni le Service de l'emploi, ni même le Service de la population n'ont donné une quelconque assurance à cet employeur quant au droit d'engager cet étranger. L'administration n'a pas fait naître en faveur de celui-ci une apparence de droit à la poursuite de cet apprentissage jusqu'à son terme. Dans ces conditions, le grief d'un comportement de l'autorité contraire aux règles de la bonne foi doit être rejeté.</w:t>
      </w:r>
    </w:p>
    <w:p>
      <w:pPr>
        <w:pStyle w:val="Heading2"/>
      </w:pPr>
      <w:r>
        <w:t>Erwägungen</w:t>
      </w:r>
    </w:p>
    <w:p>
      <w:r>
        <w:rPr>
          <w:b/>
        </w:rPr>
        <w:t>E. 1</w:t>
      </w:r>
    </w:p>
    <w:p>
      <w:r>
        <w:t>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w:t>
      </w:r>
    </w:p>
    <w:p>
      <w:r>
        <w:rPr>
          <w:b/>
        </w:rPr>
        <w:t>E. 6</w:t>
      </w:r>
    </w:p>
    <w:p>
      <w:r>
        <w:t>de l’ordonnance du 6 octobre 1986 limitant le nombre des étrangers (OLE), en vigueur jusqu'au 31 décembre 2007, a été reprise sans modification à l'art. 11 al. 2 LEtr.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(art. 1a al. 1 de l’ordonnance fédérale du 24 octobre 2007 relative à l’admission, au séjour et à l’exercice d’une activité lucrative – OASA; RS 142.201). Est également considérée comme activité salariée toute activité exercée en qualité d’apprenti, de stagiaire, de volontaire, de sportif, de travailleur social, de missionnaire, de personne exerçant une activité d’encadrement religieux, d’artiste ou d’employé au pair (ibid., al. 2). L'art. 91 LEtr institue un devoir de diligence incombant à l'employeur et au destinataire de services dans la mesure suivante: "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Le service chargé, en vertu du droit cantonal, d’octroyer les autorisations de travail décide si l’activité d’un étranger est considérée comme une activité lucrative au sens de l’art. 11 al. 2 LEtr (art. 4 al. 1 OASA).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Si l’étranger ne dispose pas encore de cette dernière autorisation, une réserve sera mentionnée dans l’autorisation relative à l’exercice d’une profession (art. 7 OASA). Avant d’octroyer une première autorisation de séjour ou de courte durée en vue de l’exercice d’une activité lucrative, l’autorité cantonale compétente (art. 88 al. 1) décide si les conditions sont remplies pour exercer une activité lucrative salariée ou indépendante au sens des art. 18 à 25 LEtr (art. 83 al. 1 let. a OASA). b) Si un employeur enfreint la présente loi de manière répétée, l’autorité compétente peut rejeter entièrement ou partiellement ses demandes d’admission de travailleurs étrangers, à moins que ceux-ci aient un droit à l’autorisation (art. 122 al. 1 LEtr). L’autorité compétente peut menacer les contrevenants de ces sanctions (ibid., al. 2).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2. a) En l'espèce, les recourantes ne contestent ni l’existence du contrat d’apprentissage du 4 août 2010, ni le fait que A. Y.________ était dépourvue d’autorisation de travail en Suisse. L es dispositions du droit privé régissant la résiliation du contrat de travail sont indépendantes des dispositions de la LEtr relatives aux autorisations de séjour en vue de l’exercice d’une activité lucrative, qui relèvent du droit public. Ainsi, un étranger sans autorisation de travail n’a pas le droit de travailler, même s’il est au bénéfice d’un contrat avec un employeur (arrêt PE.2011.0415 du 12 avril 2012). Le rétablissement de l’ordre légal et l’injonction de l’autorité intimée à X.________ SA de cesser avec effet immédiat l’occupation de A. Y.________ ne souffrent dès lors d’aucune critique. b) Les recourantes mettent cependant en avant leur bonne foi. Découlant directement de l'art. 9 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1984, vol. I, p. 390 ss.). Le droit à la protection de la bonne foi (art. 9 Cst.) peut selon les circonstances, mais à des conditions strictes, conférer un droit à l’administré. Tel est le cas notamment si ce dernier s'est fondé sur des renseignements erronés de l'autorité compétente et a pris en conséquence des dispositions irréversibles (en matière d’autorisation de séjour des étrangers, voir ATF 126 II 377 consid. 3a p. 387; arrêt 2C_126/2007 précité consid. 2.7; Peter Uebersax, in Ausländerrecht, 2e éd., 2009, no 7.148; Marc Spescha, in Migrationsrecht, 2e éd., 2009, p. 499 no 29; Alain Wurzburger, La jurisprudence récente du Tribunal fédéral en matière de police des étrangers, RDAF 1997 I p. 305 s.). Le fait qu'une autorité ait connaissance d'une situation illicite et la tolère temporairement ne l'empêche en principe pas, sous réserve de cas exceptionnels, d'exiger des personnes concernées qu'elles mettent un terme à cet état de choses et rétablissent une situation conforme au droit (Häfelin/Müller/Uhlmann, Allgemeines Verwaltungsrecht, 5e éd., 2006, no 652, arrêt TF 2C_503/2009 du 8 janvier 2010). On retire de leurs explications que les recourantes se sont fiées à la décision de la DGEP d’approuver le contrat d’apprentissage. Plusieurs éléments doivent leur être objectés. Tout d’abord, X.________ SA en sa qualité d’employeur ne pouvait ignorer les différentes procédures et contraintes légales en relation avec l'engagement de personnel étranger. Si elle avait un doute à cet égard, elle était tenue, conformément à l'article 91 LEtr, de vérifier préalablement à l'engagement, que son apprentie étrangère était bien autorisée à exercer une activité lucrative en Suisse, en se renseignant, le cas échéant, auprès des autorités compétentes. Or, l'autorité compétente à cet égard, chargée d’octroyer l’autorisation conformément à l’art. 4 al. 1 OASA, est le service cantonal de l'emploi, vu l’art. 64 de la loi vaudoise du 5 juillet 2005 sur l’emploi (LEmp ; RSV 822.11). X.________ SA ne pouvait nullement se satisfaire de l’approbation du DGEP pour en conclure qu'elle était en droit d'employer A. Y.________, pas davantage du reste que cette dernière pour en conclure qu’elle était autorisée à travailler en Suisse . Au contraire, on pouvait raisonnablement attendre des recourantes que, dans ces circonstances, elles se renseignent de manière complète et spontanée auprès de l'autorité intimée compétente, ce qu’elles n’ont pas fait. En d’autres termes, ni la commission d’apprentissage, ni aucun autre service dépendant du département concerné, ni le SDE, ni même le SPOP n'ont donné une quelconque assurance à X.________ SA quant au droit d’engager A. Y.________, sans devoir s’assurer au préalable que l’intéressée disposait d’une autorisation de séjour valable (v. dans le même sens, arrêt PE.2009.0623 du 20 mai 2010). De même, c’est en vain que cette dernière prétend que l’administration aurait fait naître en sa faveur une apparence de droit à la poursuite de cet apprentissage jusqu’à son terme. Dans ces conditions, le grief d’un comportement de l’autorité contraire aux règles de la bonne foi doit également être rejeté. c) Il n’y a dès lors aucune place ici pour la problématique de la bonne foi. X.________ SA a clairement violé son devoir de diligence, tel qu’il est prévu par l'art. 91 al. 1 LEtr, puisqu’elle demeurait, quoi qu’il en soit, tenue de demander une autorisation de travail pour son apprentie avant que celle-ci n’entre à son service. Dès lors que l'autorité intimée ne prétend pas qu'il s'agirait d'un cas de récidive, une sommation au sens de l'art. 122 al. 2 LEtr constitue ainsi une sanction appropriée laquelle respecte également le principe de proportionnalité. En prononçant un avertissement, l'autorité intimée n'a ni excédé, ni abusé de son pouvoir d'appréciation, puisqu'il s'agit de la mesure la moins grave parmi celles prévues à l'art. 122 LEtr. La décision querellée doit ainsi être confirmée sur ce point. 3. a) L'art. 123 al. 1 LEtr dispose que des émoluments peuvent être prélevés pour les décisions rendues et les actes officiels effectués en vertu de ladite loi; les débours occasionnés par les procédures prévues dans la LEtr peuvent être facturés en sus. L'art. 5 al. 1 ch. 23a du règlement vaudois du 8 janvier 2001 fixant les émoluments en matière administrative (RE-Adm; RSV 172.55.1) prévoit la perception d'un émolument de 250 fr. pour une sommation en cas de non-respect des prescriptions du droit des étrangers. b) En l'espèce, dans la mesure où la sommation prononcée est comme on l'a vu justifiée, un émolument est dû pour la décision rendue. Quant au montant de 250 fr. réclamé, il est conforme au règlement. Pour le surplus, X.________ SA ne prétend pas que ce montant serait excessif. La décision attaquée doit dès lors être confirmée sur ce point également. 4. Vu ce qui précède, les recours seront rejetés et la décision attaquée, confirmée. Les recourantes, qui succombent, supportent chacune la moitié des frais d’arrêt. En outre, il n’y a pas lieu, vu le sort du recours de A. Y.________,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