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PE.2012.0078 vom 4. Juli 2012</w:t>
      </w:r>
    </w:p>
    <w:p>
      <w:r>
        <w:t>VD Tribunal cantonal, 2012-07-04, FR</w:t>
      </w:r>
    </w:p>
    <w:p>
      <w:r>
        <w:rPr>
          <w:b/>
        </w:rPr>
        <w:t xml:space="preserve">Quelle: </w:t>
      </w:r>
      <w:r>
        <w:t>https://mcp.opencaselaw.ch/entscheid/vd_omni_PE.2012.0078</w:t>
      </w:r>
    </w:p>
    <w:p>
      <w:r>
        <w:t>FR: VD_OMNI PE.2012.0078 du 4 juillet 2012</w:t>
      </w:r>
    </w:p>
    <w:p>
      <w:r>
        <w:t>IT: VD_OMNI PE.2012.0078 del 4 luglio 2012</w:t>
      </w:r>
    </w:p>
    <w:p>
      <w:pPr>
        <w:pStyle w:val="Heading2"/>
      </w:pPr>
      <w:r>
        <w:t>Regeste</w:t>
      </w:r>
    </w:p>
    <w:p>
      <w:r>
        <w:t>X.________ SA c/Service de l'emploi | Ressortissant kosovar contrôlé sur un chantier un samedi matin avec un collaborateur de l'entreprise concernée par ce chantier, alors qui n'est au bénéfice d'aucune autorisations de séjour et de travail au moment de la prise d'emploi. Dénonciation de la société au Service de l'emploi, qui la somme de respecter la législation en vigueur et met à sa charge l'éolument administratif. Grief d'irrecevabilité du recours rejeté. Le contenu du courrier adressé par la recourante à l'autorité intimée ne laissait planer aucun doute sur son intention de contester la décision, ni sur les motifs devant conduire à l'annulation de cette dernière. L'autorité intimée devait transmettre à la CDAP cette lettre pour valoir recours. Recours de la société admis. Il résulte des faits de la cause que l'employeur ignorait qui était ce ressortissant kosovar, qu'il n'avait donné aucune instruction à ses collaborateurs d'oeuvrer sur le chantier un samedi matin et qu'il ignorait qu'un de ses employés prendrait l'initiative de le faire, qui plus est en étant accompagné d'un tiers venu l'aider. Dans ce cas particulier, l'employeur n'a pas violé son devoir de diligence, ne pouvant être tenu pour responsable de l'initiative prise à son insu par son employé.</w:t>
      </w:r>
    </w:p>
    <w:p>
      <w:pPr>
        <w:pStyle w:val="Heading2"/>
      </w:pPr>
      <w:r>
        <w:t>Erwägungen</w:t>
      </w:r>
    </w:p>
    <w:p>
      <w:r>
        <w:rPr>
          <w:b/>
        </w:rPr>
        <w:t>E. 1</w:t>
      </w:r>
    </w:p>
    <w:p>
      <w:r>
        <w:t>a) Selon l'art. 95 de la loi du 28 octobre 2008 sur la procédure administrative (LPA-VD; RSV 173.36), le recours s'exerce dans les 30 jours dès la notification de la décision attaquée. L'acte de recours doit être signé et indiquer les conclusions et motifs du recours (art. 79 al. 1, 1 ère phrase LPA-VD). Selon l'art. 7 al.1 LPA-VD, l'autorité qui s'estime incompétente transmet la cause sans délai à l'autorité qu'elle juge compétente. b) L'autorité intimée conclut principalement à l'irrecevabilité du recours, au motif que ses décisions étant datées du 21 octobre 2011, le recours du 21 février 2012 serait hors délai. Ce moyen doit être écarté. En effet, il résulte du dossier de la cause que la recourante a contesté les décisions précitées par courrier adressé à l'autorité intimée le 3 novembre 2011 déjà, soit dans le délai légal de 30 jours, en retournant les factures qui lui avaient été notifiées, en expliquant qu'elles ne la concernaient pas compte tenu de la situation qu'elle a à nouveau exposée. Le contenu de ce courrier ne laisse planer aucun doute sur les intentions de la recourante – contester les décisions du 21 octobre 2011 en en demandant l'annulation – ni sur les motifs qui devaient à ses yeux conduire à un tel résultat. Partant, il faut admettre que cette lettre du 3 novembre 2011 respectait les exigences de formes prévues à l'art. 79 LPA-VD et que, partant, elle vaut recours. Le fait qu'elle n'ait pas été adressée à la CDAP n'y change rien dès lors que, conformément à l'art. 7 al. 1 LPA-VD, il appartenait à l'autorité intimée de la transmettre à la cour de céans. Aussi convient-il d'admettre la recevabilité du recours.</w:t>
      </w:r>
    </w:p>
    <w:p>
      <w:r>
        <w:rPr>
          <w:b/>
        </w:rPr>
        <w:t>E. 2</w:t>
      </w:r>
    </w:p>
    <w:p>
      <w:r>
        <w:t>Est considérée comme activité lucrative toute activité salariée ou indépendante qui procure normalement un gain, même si elle est exercée gratuitement.</w:t>
      </w:r>
    </w:p>
    <w:p>
      <w:r>
        <w:rPr>
          <w:b/>
        </w:rPr>
        <w:t>E. 3</w:t>
      </w:r>
    </w:p>
    <w:p>
      <w:r>
        <w:t>Il résulte de ce qui précède que bien fondé, le recours doit être admis et la décision de l'autorité intimée, du 21 octobre 2011, annulée. Vu l'issue du litige, il n'est pas perçu de frais de procédure. Ayant agi par le biais d'un avocat, la recourante, qui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