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PE.2012.0070 vom 25. Mai 2012</w:t>
      </w:r>
    </w:p>
    <w:p>
      <w:r>
        <w:t>VD Tribunal cantonal, 2012-05-25, FR</w:t>
      </w:r>
    </w:p>
    <w:p>
      <w:r>
        <w:rPr>
          <w:b/>
        </w:rPr>
        <w:t xml:space="preserve">Quelle: </w:t>
      </w:r>
      <w:r>
        <w:t>https://mcp.opencaselaw.ch/entscheid/vd_omni_PE.2012.0070</w:t>
      </w:r>
    </w:p>
    <w:p>
      <w:r>
        <w:t>FR: VD_OMNI PE.2012.0070 du 25 mai 2012</w:t>
      </w:r>
    </w:p>
    <w:p>
      <w:r>
        <w:t>IT: VD_OMNI PE.2012.0070 del 25 maggio 2012</w:t>
      </w:r>
    </w:p>
    <w:p>
      <w:pPr>
        <w:pStyle w:val="Heading2"/>
      </w:pPr>
      <w:r>
        <w:t>Regeste</w:t>
      </w:r>
    </w:p>
    <w:p>
      <w:r>
        <w:t>X._____________ c/Service de la population (SPOP) | Ressortissant algérien, dont la demande d'asile a été rejetée et qui est resté en Suisse malgré le renvoi ordonné par l'ODM. Il a été condamné à six reprises, dont une fois à douze mois de privation de liberté. A raison de son mariage avec une personne autorisée à séjourner en Suisse, il demande une autorisation de séjour. Refus du SPOP confirmé.</w:t>
      </w:r>
    </w:p>
    <w:p>
      <w:pPr>
        <w:pStyle w:val="Heading2"/>
      </w:pPr>
      <w:r>
        <w:t>Erwägungen</w:t>
      </w:r>
    </w:p>
    <w:p>
      <w:r>
        <w:rPr>
          <w:b/>
        </w:rPr>
        <w:t>E. 1</w:t>
      </w:r>
    </w:p>
    <w:p>
      <w:r>
        <w:t>L’art. 64 LEtr, dans sa version modifiée au 1 er janvier 2011, est libellé comme suit : « 1.Les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w:t>
      </w:r>
    </w:p>
    <w:p>
      <w:r>
        <w:rPr>
          <w:b/>
        </w:rPr>
        <w:t>E. 2</w:t>
      </w:r>
    </w:p>
    <w:p>
      <w:r>
        <w:t>L’étranger qui séjourne illégalement en Suisse et qui dispose d’un titre de séjour valable délivré par un autre Etat lié par l’un des accords d’association à Schengen2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w:t>
      </w:r>
    </w:p>
    <w:p>
      <w:r>
        <w:rPr>
          <w:b/>
        </w:rPr>
        <w:t>E. 3</w:t>
      </w:r>
    </w:p>
    <w:p>
      <w:r>
        <w:t>Le recourant a demandé son audition personnelle, ainsi que celle de son épouse et de deux témoins. a) Les parties ont le droit d'être entendues (art. 29 al. 2 Cst., 27 al. 2 Cst./VD et 33 al. 1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IV 33 consid. 9.2 p. 48/49; 136 I 265 consid. 3.2 p. 272; 136 V 351 consid. 4.4 p. 356 , et les arrêts cités). La procédure est en principe écrite (art. 27 al. 1 LPA-VD). Le Tribunal cantonal a toutefois la faculté de tenir une audience et ordonner des débats, y compris l’audition des parties et de témoins (art. 29 al. 1 let. a et f LPA-VD), lorsque les besoins de l’instruction l’exigent (art. 27 al. 2 et 3 LPA-VD). Cela ne signifie pas pour autant que les parties disposeraient du droit inconditionnel d’être entendues oralement (ATF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Sur le vu des pièces du dossier et le certificat médical du Dr Gusmini, le Tribunal dispose de tous les éléments nécessaires pour décider en connaissance de cause. L’audition du recourant et de son épouse n’est dès lors pas indispensable, pas davantage que celle des témoins. Dans le cadre d’une appréciation anticipée des moyens de preuves, les mesures proposées par le recourant sont superflues.</w:t>
      </w:r>
    </w:p>
    <w:p>
      <w:r>
        <w:rPr>
          <w:b/>
        </w:rPr>
        <w:t>E. 4</w:t>
      </w:r>
    </w:p>
    <w:p>
      <w:r>
        <w:t>Le recours doit ainsi être rejeté, et la décision attaquée confirmée. Les frais sont mis à la charge du recourant (art. 49 LPA-VD). Il n’y a pas lieu d’allouer des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