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PE.2012.0045 vom 8. Juni 2012</w:t>
      </w:r>
    </w:p>
    <w:p>
      <w:r>
        <w:t>VD Tribunal cantonal, 2012-06-08, FR</w:t>
      </w:r>
    </w:p>
    <w:p>
      <w:r>
        <w:rPr>
          <w:b/>
        </w:rPr>
        <w:t xml:space="preserve">Quelle: </w:t>
      </w:r>
      <w:r>
        <w:t>https://mcp.opencaselaw.ch/entscheid/vd_omni_PE.2012.0045</w:t>
      </w:r>
    </w:p>
    <w:p>
      <w:r>
        <w:t>FR: VD_OMNI PE.2012.0045 du 8 juin 2012</w:t>
      </w:r>
    </w:p>
    <w:p>
      <w:r>
        <w:t>IT: VD_OMNI PE.2012.0045 del 8 giugno 2012</w:t>
      </w:r>
    </w:p>
    <w:p>
      <w:pPr>
        <w:pStyle w:val="Heading2"/>
      </w:pPr>
      <w:r>
        <w:t>Regeste</w:t>
      </w:r>
    </w:p>
    <w:p>
      <w:r>
        <w:t>A.X.______________ c/Service de la population (SPOP) | Rejet du recours déposé par une ressortissante brésilienne contre une décision du SPOP refusant de renouveler son autorisation de séjour après dissolution de l'union conjugale et de délivrer une telle autorisation à son fils. Le mariage n'a pas duré trois ans (art. 50 al. 1 let. a LEtr). Absence de raisons personnelles majeures (art. 50 al. 1 let. b LEtr): la violence conjugale n'est pas démontrée et la réintégration sociale dans le pays d'orgine n'est pas compromise. S'agissant du fils de la recourante, il n'existe pas de cas de rigueur du seul fait de sa scolarisation en Suisse pendant quatre ans, avant la période d'adolescence. Enfin, la recourante et son fils ne peuvent se prévaloir de l'art. 8 CEDH. La relation entre ce dernier et les parents de l'époux de la recourante ne relève en principe pas de l'art. 8 CEDH et n'a pas remplacé le lien de dépendance qu'il a envers sa propre mère. Recours au TF rejeté (2C_689/2012 du 5 février 2013).</w:t>
      </w:r>
    </w:p>
    <w:p>
      <w:pPr>
        <w:pStyle w:val="Heading2"/>
      </w:pPr>
      <w:r>
        <w:t>Erwägungen</w:t>
      </w:r>
    </w:p>
    <w:p>
      <w:r>
        <w:rPr>
          <w:b/>
        </w:rPr>
        <w:t>E. 1</w:t>
      </w:r>
    </w:p>
    <w:p>
      <w:r>
        <w:t>Déposé en temps utile et selon les formes prescrites par les art. 79, 95 et 99 de la loi du 28 octobre 2008 sur la procédure administrative (LPA-VD; RSV 173.36), le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 contrôle de l’autorité de recours à l’opportunité,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116 V 307 consid. 2 p. 310 et les arrêts cités; 1C_294/2007 du 30 novembre 2007 consid. 3.4).</w:t>
      </w:r>
    </w:p>
    <w:p>
      <w:r>
        <w:rPr>
          <w:b/>
        </w:rPr>
        <w:t>E. 3</w:t>
      </w:r>
    </w:p>
    <w:p>
      <w:r>
        <w:t>Le litige porte sur le refus par l'autorité intimée de prolonger l’autorisation de séjour de la recourante et d'en accorder une au fils de celle-ci. a) Conformément à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Interrogée le 5 octobre 2010 par la police, la recourante a alors expliqué qu'aucune procédure de divorce n'était engagée et que la séparation d'avec son mari datait du 5 août 2009. Une reprise de la vie commune aurait eu lieu entre les mois de février et avril 2011 (cf. déclaration écrite des époux du 10 février 2011). Celle-ci a toutefois été contestée par son mari le 10 août 2011. Quoi qu'il en soit, les deux époux ont confirmé leur volonté de divorcer lors de l'audience du 17 novembre 2011 devant le Tribunal d'arrondissement et sont aujourd'hui divorcés. La recourante ne peut dès lors plus invoquer l'art. 42 al. 1 LEtr pour obtenir la prolongation de son autorisation de séjour.</w:t>
      </w:r>
    </w:p>
    <w:p>
      <w:r>
        <w:rPr>
          <w:b/>
        </w:rPr>
        <w:t>E. 3.3</w:t>
      </w:r>
    </w:p>
    <w:p>
      <w:r>
        <w:t>p. 117 s.). Cette limite revêt un caractère absolu et s'applique même s'il ne reste que quelques jours pour atteindre la durée des 36 mois exigés (ATF 2C_594/2010 du 24 novembre 2010 consid. 3.1 et les références citées). Enfin, l'éventuelle cohabitation des époux avant le mariage ne peut être prise en compte dans la durée de l'union conjugale (ATF 137 II 1 consid. 3.1 p. 3; 2C_594/2010 du 24 novembre 2010 consid. 3.1). b) En l’espèce, le mariage a été célébré le 25 février 2008 et la recourante et son mari ne forment plus une communauté conjugale depuis le mois d'août 2009 – selon leurs déclarations concordantes. Même en retenant qu'une reprise de la vie commune a eu lieu entre les mois de février et d'avril 2011, celle-ci a duré moins de deux ans. La recourante ne peut donc pas se prévaloir de l'art. 50 al. 1 let. a LEtr. La première des deux conditions cumulatives n'étant pas remplie, point n'est besoin d'aborder la seconde exigence relative à l'intégration de la recourante (cf. ATF 136 II 113 consid.</w:t>
      </w:r>
    </w:p>
    <w:p>
      <w:r>
        <w:rPr>
          <w:b/>
        </w:rPr>
        <w:t>E. 3.4</w:t>
      </w:r>
    </w:p>
    <w:p>
      <w:r>
        <w:t>p. 120; 2C_488/2010 du 2 novembre 2010 consid. 3.2).</w:t>
      </w:r>
    </w:p>
    <w:p>
      <w:r>
        <w:rPr>
          <w:b/>
        </w:rPr>
        <w:t>E. 4</w:t>
      </w:r>
    </w:p>
    <w:p>
      <w:r>
        <w:t>Selon l’art. 50 al. 1 let. a LEtr, après dissolution de la famille, le droit du conjoint à l’octroi d’une autorisation de séjour et à la prolongation de sa durée de validité en vertu de l’art. 42 LEtr subsiste lorsque l’union conjugale a duré au moins trois ans et que l’intégration est réussie. a) L'union conjugale au sens de l'art. 50 al. 1 let. a LEtr suppose l'existence d'une communauté conjugale effectivement vécue (Directives de l'Office fédéral des migrations [ ODM], I. Etrangers, 6. Regroupement familial, état au 30 septembre 2011, ch. 6.14.1). La durée minimale de trois ans requise par cette disposition se calcule depuis la date du mariage, à condition que la cohabitation ait eu lieu en Suisse, jusqu'à ce que les époux cessent d'habiter sous le même toit (ATF 136 II 113 consid. 3.2 in fine et</w:t>
      </w:r>
    </w:p>
    <w:p>
      <w:r>
        <w:rPr>
          <w:b/>
        </w:rPr>
        <w:t>E. 5</w:t>
      </w:r>
    </w:p>
    <w:p>
      <w:r>
        <w:t>La recourante invoque l'existence de raisons personnelles majeures au sens de l'art. 50 al. 1 let. b LEtr. a) L'art. 50 al. 2 LEtr –  repris à l'art. 77 al. 2 OASA – précise que les raisons personnelles majeures visées à l'al. 1 let. b sont notamment données lorsque le conjoint est victime de violences conjugales et que la réintégration sociale dans le pays de provenance semble fortement compromise ( ATF 136 II 1 consid. 5 p. 3 ss; 2C_904/2011 du 13 janvier 2012 consid. 5.1) . Il convient de déterminer sur la base des circonstances d'espèce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des possibilités de réintégration dans l'Etat de provenance (art. 31 al. 1 OASA) et non l'intérêt public que revêt une politique migratoire restrictive ( ATF 137 II 1 consid. 4.1 p. 7 s.; 2C_904/2011 du 13 janvier 2012 consid. 5.1). D'après le message du Conseil fédéral, du 8 mars 2002, concernant la loi sur les étrangers (FF 2002 p. 3512), en principe, " rien ne devrait s'opposer à un retour lorsque le séjour en Suisse a été de courte durée, que la personne en cause n'a pas établi de liens étroits avec la Suisse et que sa réintégration dans son pays d'origine ne pose aucun problème particulier ". Pour interpréter la notion de "raisons personnelles majeures", on peut se référer à la jurisprudence développée sous l’empire de l’ancien art. 13 f de l'ordonnance limitant le nombre d'étrangers en vigueur jusqu’au 31 décembre 2007, qui concernait les autorisations de séjour pouvant être délivrées " dans un cas personnel d'extrême gravité ou en raison de considérations de politique générale " ( cf. arrêts PE.2009.0200 du 24 août 2009 consid. 4b; PE.2008.0342 du 18 mars 2009 consid. 2). Celle-ci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et les références citées; 2A.531/2005 du 7 décembre 2005). Parmi les éléments susceptibles de fonder un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couronnées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128 II 200 consid. 4 p. 207). b) La recourante a allégué avoir subi des violences conjugales de la part de son époux lors de son audition du 5 octobre 2010. Aucun élément au dossier ne permet d'établir l'existence de ces violences et leur intensité. Au contraire, le Ministère public a rendu, le 3 juin 2010, une ordonnance de classement constatant, d'une part, que la recourante avait retiré sa plainte déposée à l'encontre de son mari pour menaces qualifiées et, d'autre part, que les éléments constitutifs de l'infraction n'étaient pas suffisamment caractérisés et que les propos tenus n'avaient, par ailleurs, pas été établis. Ainsi, l'application de l'art. 50 al. 2 LEtr ne peut être admise pour cette raison. S'agissant du critère de la réintégration dans le pays d'origine et des liens de la recourante avec la Suisse, il faut constater que celle-ci séjourne en Suisse depuis presque cinq ans. Elle y est venue à l'âge de 21 ans. Sur le plan professionnel, la recourante occupe un poste de préparatrice de commande auprès d'une entreprise de transport depuis le 1 er mars 2011. La recourante et son mari ont été soutenus par l'aide sociale pour une courte période, soit durant les mois de février et d'avril 2009. Elle s'est acquittée de ses poursuites le 31 mai 2011 et n'a fait l'objet à ce jour d'aucune condamnation pénale. S'agissant de ses liens familiaux, elle compte une soeur en Suisse, les autres membres de sa famille résidant dans son pays d'origine où elle a passé l'essentiel de sa vie et où elle conserve ses attaches familiales, culturelles et sociales. Au vu de ce qui précède, son retour au Brésil ne devrait pas poser de problème particulier. c) Quant au fils de la recourante, cette dernière indique qu'un retour de celui-ci dans son pays d'origine constituerait un véritable déracinement. Selon le Tribunal fédéral, s’agissant d’enfants déjà scolarisés qui ont dès lors commencé à s’intégrer de manière autonome dans la réalité quotidienne suisse, le retour forcé peut constituer un véritable déracinement, mais tel n’est pas forcément le cas.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il est arrivé à la même conclusion dans le cas d’un enfant de neuf ans arrivé en Suisse à quatre ans et fréquentant la troisième année d’école primaire (cf. ATF 123 II 125 consid. 4a et références).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PE.2008.0342 précité). En l'occurrence, le fils de la recourante est venu en Suisse à l'âge de 5 ans et en a aujourd'hui 9. Au vu de la jurisprudence mentionnée ci-dessus (cf. notamment ATF 123 II 125), il ne saurait se prévaloir d'un cas de rigueur du seul fait de sa scolarisation en Suisse pendant 4 ans, avant la période de l'adolescence. En conclusion, la recourante et son fils ne peuvent se prévaloir d'un cas de rigueur au sens de l'art. 50 al. 1 let. b et al. 2 LEtr.</w:t>
      </w:r>
    </w:p>
    <w:p>
      <w:r>
        <w:rPr>
          <w:b/>
        </w:rPr>
        <w:t>E. 6</w:t>
      </w:r>
    </w:p>
    <w:p>
      <w:r>
        <w:t>Reste à déterminer si l'art. 8 de la Convention du 4 novembre 1950 de sauvegarde des droits de l’homme et des libertés fondamentales (CEDH; RS 0.101) trouve application en l'espèce. La recourante invoque à cet égard le lien entre son fils et ses beaux-parents. a) Un étranger peut se prévaloir de la protection de la vie familiale découlant de l’art. 8 par. 1 CEDH à condition qu’il entretienne une relation étroite et effective (ATF 131 II 265 consid. 5 p. 270;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s.;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p. 64 s.; 120 Ib 257 consid. 1d p. 260 s.; 2C_508/2009 du 20 mai 2010 consid. 2.2). Dans le cas de personnes qui n'appartiennent pas à la famille proche, une relation familiale doit être protégée – en respect de la jurisprudence de la Cour européenne des droits de l'homme –, si la personne requérant l'octroi d'une autorisation de séjour est dépendante de celle autorisée à vivre en Suisse (ATF 120 Ib 257 consid. 1d p. 260 s.) Le Tribunal fédéral a jugé que tel pouvait être le cas de demi-frères ou demi-soeurs , lorsque l'adulte, à la place des parents, prend soin des enfants et occupe ainsi le rôle de parent.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(ATF 133 II 6 consid. 3.1 p. 10 et les références citées; 2C_526/2009 du 14 mai 2010 consid. 6; 2C_325/2009 du 8 mars 2010 consid. 4.2). Une ingérence dans son exercice est possible aux conditions de l'art. 8 par. 2 CEDH. La question de savoir si, dans un cas d'espèce, les autorités de police des étrangers sont tenues d'accorder une autorisation de séjour fondée sur l'art. 8 CEDH doit donc aussi être résolue sur la base d'une pesée de tous les intérêts publics et privés en présence (ATF 133 II 6 consid. 5.5 p. 22 s.; 2C_917/2010 du 22 mars 2011 consid. 6.2; 2C_508/2009 du 20 mai 2010 consid. 4.2). b) En l'espèce, le lien invoqué par la recourante, soit la relation entre son fils et les parents de son époux, ne relève en principe pas de l'art. 8 CEDH en l'absence d'un quelconque lien de parenté entre les intéressés. A supposer qu'un tel lien soit susceptible d'être protégé, il faudrait que son intensité soit telle que la personne requérant l'autorisation de séjour est devenue dépendante de celle autorisée à vivre en Suisse. Tel n'est manifestement pas le cas en l'espèce. En effet, même si le fils de la recourante a pu nouer des liens affectifs avec les beaux-parents de sa mère, il n'est pas établi que ce lien aurait été étroit au point de créer un lien de dépendance remplaçant celui qu'il a envers sa propre mère. Partant, la recourante et son fils ne peuvent se prévaloir de l'art. 8 CEDH.</w:t>
      </w:r>
    </w:p>
    <w:p>
      <w:r>
        <w:rPr>
          <w:b/>
        </w:rPr>
        <w:t>E. 7</w:t>
      </w:r>
    </w:p>
    <w:p>
      <w:r>
        <w:t>Les considérants qui précèdent conduisent au rejet du recours et à la confirmation de la décision attaquée. Il se justifie dans le cas présent de statuer sans frais (art. 50 LPA-VD). La recourante a procédé au bénéfice de l'assistance judiciaire. Pour l’indemnisation du mandataire d’office, les dispositions régissant l’assistance judiciaire en matière civile sont applicables par analogie (art. 18 al. 5 LPA-VD). L’art. 39 al. 5 Code de droit privé judiciaire vaudois du 12 janvier 2010 (CDPJ; RSV 211.02)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Le conseil de la recourante n'ayant pas produit de liste d'opérations dans le délai imparti, il convient de fixer son indemnité équitablement, sur la base d'une estimation des opérations nécessaires pour la conduite du procès, auxquels s'ajoutent des débours (art. 3 al. 2 et 3 RAJ). Ledit conseil d'office ayant procédé à une seule écriture dans la présente procédure, à laquelle s'ajoute la préparation et le suivi de celle-ci, il se justifie de lui allouer une une indemnité de 900 francs, correspondant à un travail de 5 heures au tarif horaire de 180 francs (art. 2 RAJ), montant auquel s’ajoute celui des débours, par 100 francs (art. 3 al. 3 RAJ). Compte tenu de la TVA au taux de 8%, l’indemnité totale s’élève ainsi à 1'080 fr. L'indemnité de conseil d'office est supportée provisoirement par le canton (cf. art. 122 al. 1 let. a du code de procédure civile du 19 décembre 2008 [ CPC; RS 272 ] , applicable par renvoi de l'art. 18 al. 5 LPA-VD), la recourante étant rendue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