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PE.2012.0041 vom 14. Juni 2012</w:t>
      </w:r>
    </w:p>
    <w:p>
      <w:r>
        <w:t>VD Tribunal cantonal, 2012-06-14, FR</w:t>
      </w:r>
    </w:p>
    <w:p>
      <w:r>
        <w:rPr>
          <w:b/>
        </w:rPr>
        <w:t xml:space="preserve">Quelle: </w:t>
      </w:r>
      <w:r>
        <w:t>https://mcp.opencaselaw.ch/entscheid/vd_omni_PE.2012.0041</w:t>
      </w:r>
    </w:p>
    <w:p>
      <w:r>
        <w:t>FR: VD_OMNI PE.2012.0041 du 14 juin 2012</w:t>
      </w:r>
    </w:p>
    <w:p>
      <w:r>
        <w:t>IT: VD_OMNI PE.2012.0041 del 14 giugno 2012</w:t>
      </w:r>
    </w:p>
    <w:p>
      <w:pPr>
        <w:pStyle w:val="Heading2"/>
      </w:pPr>
      <w:r>
        <w:t>Regeste</w:t>
      </w:r>
    </w:p>
    <w:p>
      <w:r>
        <w:t>X.____________, Y._____________ c/Service de la population (SPOP), Service de l'emploi | L'employeur ne peut se contenter, pour une recherche d'emploi, de faire un avis à l'Office régional de placement. En outre, l'offre en question était taillée sur mesure pour la personne que l'employeur avait déjà engagé. Rejet de la demande de réexamen.</w:t>
      </w:r>
    </w:p>
    <w:p>
      <w:pPr>
        <w:pStyle w:val="Heading2"/>
      </w:pPr>
      <w:r>
        <w:t>Erwägungen</w:t>
      </w:r>
    </w:p>
    <w:p>
      <w:r>
        <w:rPr>
          <w:b/>
        </w:rPr>
        <w:t>E. 1</w:t>
      </w:r>
    </w:p>
    <w:p>
      <w:r>
        <w:t>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art. 64 al. 2 LPA-VD).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b) Les recourants font valoir deux faits nouveaux: l’inscription du poste offert auprès de l’ORP, le 19 août 2011, d’une part; le fait que l’ORP n’aurait trouvé personne pour occuper le poste en question, d’autre part. La procédure qui a conduit au prononcé des arrêts précédents (arrêt du 5 août 2011 dans la cause PE.2011.0234 et l’ATF 2C_633/2011 du 27 septembre 2011) portait sur la question de savoir si l’ordre de priorité en faveur des travailleurs indigènes, ancré à l’art. 21 de la loi fédérale du 16 décembre 2005 sur les étrangers (LEtr; RS 142.20), s’appliquait aux ressortissants roumains. C’est parce qu’il contestait ce point que X.__________________ avait engagé Y._______________, sans offrir le poste sur le marché du travail en Suisse. Après que le Tribunal eut tranché cette question, le 5 août 2011, et malgré le recours formé auprès du Tribunal fédéral contre cet arrêt, X.__________________ a, sans doute par prudence, changé de fusil d’épaule et soumis une offre à l’ORP. Cet élément, et le défaut de candidatures constaté par l’ORP, constituaient des faits nouveaux au sens de la jurisprudence qui vient d’être citée. Il appartenait dès lors au SDE de les prendre en compte et de statuer à leur propos. En ne traitant pas au fond la requête du 19 août 2011, le SDE a violé l’art. 64 al. 2 LPA-VD.</w:t>
      </w:r>
    </w:p>
    <w:p>
      <w:r>
        <w:rPr>
          <w:b/>
        </w:rPr>
        <w:t>E. 2</w:t>
      </w:r>
    </w:p>
    <w:p>
      <w:r>
        <w:t>Cela ne conduit toutefois pas à l’admission du recours. En effet, dans sa réponse au recours, le SDE a indiqué les motifs pour lesquels, de toute manière, l’offre du 19 août 2011 était, selon lui, insuffisante pour répondre aux exigences légales. Les recourants ont eu l’occasion de se déterminer à ce sujet. a)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les directives intitulées " I. Domaine des étrangers " de l’ODM prévoient en particulier ce qui suit (version 30.09.2011):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en dernier lieu, s’agissant d’un ressortissant roumain, l’arrêt PE.20120.0010 du 23 mars 2012, et la jurisprudence citée).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PE.20120.0010, précité). b) L’annonce du 19 août 2011 ne peut être considérée comme suffisante, au regard des principes qui viennent d’être rappelés. Les recourants n’allèguent pas avoir entrepris d’autres démarches, notamment par la voie de la presse, des médias électroniques et des agences privées de placement, pour trouver une personne répondant au profil recherché. A cela s’ajoute que l’annonce du 19 août 2011 a été taillée sur mesure pour Y._______________, s’agissant notamment de la capacité à mettre sur pied une filière d’importation de bijoux fantaisie en provenance de Roumanie et de Macédoine. On se trouve dès lors en présence d’un choix de pure convenance personnelle, sous couvert d’une annonce publique. En outre, comme le relève le SDE, Y._______________ ne dispose pas des capacités linguistiques requises en anglais. Conséquent avec lui-même, X.__________________ ne lui offrirait pas le poste en question.</w:t>
      </w:r>
    </w:p>
    <w:p>
      <w:r>
        <w:rPr>
          <w:b/>
        </w:rPr>
        <w:t>E. 3</w:t>
      </w:r>
    </w:p>
    <w:p>
      <w:r>
        <w:t>Les recourants demandent la tenue d’une audience. a) Les parties ont le droit d'être entendues (art. 29 al. 2 Cst., 27 al. 2 Cst./VD et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(art. 29 al. 1 let. a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En l’occurrence, le recours doit être rejeté parce que X.__________________ n’a pas entièrement satisfait aux obligations s’imposant à lui comme employeur, au regard de l’art. 21 LEtr (cf. consid. 2 ci-dessus). Il s’agit là d’un motif formel et objectif, au sujet duquel les recourants n’ont fait aucune offre de preuve. En particulier, X.__________________ n’allègue pas avoir fait d’autre démarche que l’annonce du 19 août 2011 pour trouver une personne disponible sur le marché indigène du travail. Il est dès lors superflu de faire porter l’instruction sur la situation personnelle des recourants. La demande d’audition personnelle des recourants doit dès lors être écartée.</w:t>
      </w:r>
    </w:p>
    <w:p>
      <w:r>
        <w:rPr>
          <w:b/>
        </w:rPr>
        <w:t>E. 4</w:t>
      </w:r>
    </w:p>
    <w:p>
      <w:r>
        <w:t>Le recours doit ainsi être rejeté, et la décision attaquée confirmée, par substitution de motifs. Les frais sont mis à la charge des recourants (art. 49 LPA-VD). Il n’est pas alloué de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