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PE.2012.0023 vom 31. Juli 2012</w:t>
      </w:r>
    </w:p>
    <w:p>
      <w:r>
        <w:t>VD Tribunal cantonal, 2012-07-31, FR</w:t>
      </w:r>
    </w:p>
    <w:p>
      <w:r>
        <w:rPr>
          <w:b/>
        </w:rPr>
        <w:t xml:space="preserve">Quelle: </w:t>
      </w:r>
      <w:r>
        <w:t>https://mcp.opencaselaw.ch/entscheid/vd_omni_PE.2012.0023</w:t>
      </w:r>
    </w:p>
    <w:p>
      <w:r>
        <w:t>FR: VD_OMNI PE.2012.0023 du 31 juillet 2012</w:t>
      </w:r>
    </w:p>
    <w:p>
      <w:r>
        <w:t>IT: VD_OMNI PE.2012.0023 del 31 luglio 2012</w:t>
      </w:r>
    </w:p>
    <w:p>
      <w:pPr>
        <w:pStyle w:val="Heading2"/>
      </w:pPr>
      <w:r>
        <w:t>Regeste</w:t>
      </w:r>
    </w:p>
    <w:p>
      <w:r>
        <w:t>A. X.________/Service de la population (SPOP) | En l'espèce, une audience publique n'est pas susceptible d'influencer le sort de la cause, les faits étant suffisamment établis par le dossier. En outre, le recourant ne peut déduire de l'art 6 CEDH le droit à des débats publics oraux, dès lors que cette disposition ne s'applique pas aux contestations sur l'entrée, le séjour et la sortie des étrangers. Rejet de la requête d'audience.</w:t>
      </w:r>
    </w:p>
    <w:p>
      <w:pPr>
        <w:pStyle w:val="Heading2"/>
      </w:pPr>
      <w:r>
        <w:t>Erwägungen</w:t>
      </w:r>
    </w:p>
    <w:p>
      <w:r>
        <w:rPr>
          <w:b/>
        </w:rPr>
        <w:t>E. 1</w:t>
      </w:r>
    </w:p>
    <w:p>
      <w:r>
        <w:t>Le recourant a requis qu’une audience soit tenue.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En l'espèce, une audience publique n’est pas susceptible d'influencer le sort de la cause, les faits étant suffisamment établis par le dossier. La requête est donc refusée. Enfin, le recourant ne peut déduire de l’art 6 CEDH le droit à des débats publics oraux, dès lors que cette disposition ne s’applique pas aux contestations sur l’entrée, le séjour et la sortie des étrangers (ATF 2P.323/2006 du 27 mars 2007; 2P.47/2006 du 13 février 2006).</w:t>
      </w:r>
    </w:p>
    <w:p>
      <w:r>
        <w:rPr>
          <w:b/>
        </w:rPr>
        <w:t>E. 2</w:t>
      </w:r>
    </w:p>
    <w:p>
      <w:r>
        <w:t>Le recourant se prévaut en premier lieu d'une violation de l'art. 42 al. 1 de la loi fédérale du 16 décembre 2005 sur les étrangers (LEtr; RS 142.20). a) Selon l'art. 42 al. 1 LEtr,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En l'espèce, le recourant a épousé une ressortissante suisse le 4 juillet 2006. La vie commune des époux a pris fin un première fois dans le courant du mois de juin 2008, puis a repris de mars 2009 à octobre 2010. Il n’y a plus ménage commun depuis fin octobre 2010 selon les déclarations concordantes des deux conjoints. Il convient donc d'examiner si les conditions fixées par les art. 49 et 50 LEtr sont remplies, dès lors que les époux ne font plus ménage commun.</w:t>
      </w:r>
    </w:p>
    <w:p>
      <w:r>
        <w:rPr>
          <w:b/>
        </w:rPr>
        <w:t>E. 3</w:t>
      </w:r>
    </w:p>
    <w:p>
      <w:r>
        <w:t>a) La notion d'union conjugale au sens de l'art. 50 al. 1 let. a LEtr ne se confond pas avec le mariage. Alors que ce dernier peut être purement formel, l'union conjugale implique en principe la vie en commun des époux (ATF 2C_565/2009 du 18 février 2010 consid. 2.1.2 et réf. cit.). Selon l'art. 49 LEtr, l'exigence de ménage commun n'est pas applicable lorsque la communauté familiale est maintenue et que des raisons majeures justifiant l'existence de domiciles séparés peuvent être invoqués. b)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et 2C_575/2009 du 1 er juin 2010 consid. 3.5; arrêt PE.2011.0236 du 29 novembre 2011).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c) En l’espèce, il ressort des déclarations concordantes des deux époux que la vie commune a pris fin au mois d’octobre 2010. Le recourant a produit une lettre de son épouse qui indique qu’ils s’entendent néanmoins très bien et que c’est uniquement en raison de la mésentente entre le recourant et son beau-fils que la vie commune est impossible. Le recourant ajoute que son épouse n’a pas ouvert d’action en divorce. Il n’en demeure pas moins que la vie commune a cessé et que cette situation paraît durable, dès lors qu’il n’est pas allégué que le beau-fils du recourant serait sur le point de quitter le logement de sa mère, ce qui pourrait permettre aux époux de reprendre la vie commune puisque c’est la mésentente entre le recourant et le fils de son épouse qui serait la cause de l’absence de vie commune. Ainsi, s’il peut être considéré comme plausible que le recourant s’entend bien avec son épouse suisse, cela ne suffit pas à admettre qu’une communauté conjugale existe encore. En outre, un problème relationnel entre le recourant et son beau-fils ne constitue pas une raison majeure qui justifie l’existence de domiciles séparés au sens de l’art 49 LEtr.</w:t>
      </w:r>
    </w:p>
    <w:p>
      <w:r>
        <w:rPr>
          <w:b/>
        </w:rPr>
        <w:t>E. 4</w:t>
      </w:r>
    </w:p>
    <w:p>
      <w:r>
        <w:t>a)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b)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Dans un arrêt PE.2011.0186 du 16 août 2011 consid. 3c/aa, la CDAP a jugé: " L orsque, pendant le délai de trois ans exigé par l'art. 50 al. 1 let. a LEtr, les conjoints ont cessé la vie commune au point que les conditions des art. 42 ou 43 LEtr (associés à l'art. 49 LEtr), respectivement des art. 7 et 17 aLSEE,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 Cet arrêt cantonal rappelle en outre que dans un ATF 2C_830/2010 du 10 juin 2011, relatif à un conjoint étranger ayant quitté le domicile commun pendant environ 6 mois et repris la vie conjugale pendant environ 18 mois avant de rompre définitivement, le Tribunal fédéral avait laissé indécise la question de savoir si la période antérieure à la première rupture précitée entrait en considération dans le calcul du délai de trois ans, mais ne s'était pas exprimé non plus sur la gravité de cette séparation. Dans un arrêt PE.2011.0413 du 2 mai 2012 consid. 3d, la CDAP a jugé: " En l'espèce, le recourant a vécu auprès de son épouse du 10 octobre 2006 (date du mariage) au 8 août 2009 (…), puis du 7 mai 2010 au 15 novembre de la même année (…). Il s'agit ainsi d'une période de vie commune de deux ans et dix mois, suivie d'une séparation de neuf mois, puis d'une réconciliation de six mois suivie d'une nouvelle rupture. (…), vu les circonstances de la reprise de la vie commune (semblant d'emblée motivée pour l'essentiel par les exigences de la procédure de police des étrangers), sa brièveté (de six mois, alors que la séparation a duré neuf mois) et la rapidité des événements subséquents (l'épouse est tombée enceinte d'un tiers environ un mois après la séparation, si l'on considère qu'elle a accouché à terme le 22 août 2011), on ne saurait considérer que la reprise de la vie commune annoncée reflétait une réelle volonté de recréer la vie conjugale. Cette période ne peut ainsi être ajoutée à la première période de vie commune pour calculer la durée de trois ans exigée par l'art. 77 OASA " . c) En l’espèce, sans contester l'interruption de la vie commune, le recourant soutient d’une part qu’il faut tenir compte de la période vie commune antérieure au mariage et, d’autre part, qu'il faut additionner les deux périodes vécues par les époux en ménage commun depuis le mariage.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Peu importe dès lors que les époux aient vécu ensemble déjà avant la célébration de leur mariage; cela n’entre pas en ligne de compte. Pour le reste, le recourant a vécu avec son épouse de juillet 2006 à juin 2008, soit 23 mois. Le couple a ensuite repris la vie commune en mars 2009, apparemment quelques jours après que le SPOP ait indiqué au recourant qu’il avait l’intention de refuser la prolongation de son autorisation de séjour et de prononcer son renvoi de Suisse. Les époux se sont à nouveau séparés à la fin du mois d’octobre 2010, à l’initiative de l’épouse du recourant en raison apparemment des actes de violence perpétrés à son endroit par ce dernier. Il est vrai que l’épouse a retiré la plainte déposée à l’encontre du recourant. Il n’en demeure pas moins ces éléments sont de nature à jeter le doute sur les véritables intentions du recourant lorsqu’il a repris la vie commune. Quoi qu’il en soit, il n’est pas nécessaire de déterminer si la reprise de la vie commune de mars 2009 à octobre 2010 reflétait une réelle volonté de recréer la vie conjugale et si cette période peut être ajoutée à la première période de vie commune pour calculer la durée de trois ans exigée par l'art. 50 al. 1 let. a LEtr. En effet, la seconde condition posée par l'art. 50 al. 1 let. a LEtr est que l’intégration soit réussie, ce qui n’est pas le cas comme on va le voir ci-dessous. d) Le principe d'intégration doit permettre aux étrangers dont le séjour est légal et durable de participer à la vie économique, sociale et culturelle de la Suisse (art. 4 al. 2 LEtr; cf. ATF 2C_986/2010 du 18 mai 2011 consid. 5.1 et 5.2; 134 II 1 consid. 4.1 p. 4 s.). D'après l'art. 77 al. 4 de l’ordonnance du 24 octobre 2007 relative à l’admission, au séjour et à l’exercice d’une activité lucrative (OASA ;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"notamment", qui est employé tant à l'art. 77 al. 4 OASA, illustre le caractère non exhaustif des critères d'intégration qui sont énumérés par ces dispositions; ce terme signale aussi que la notion d'" intégration réussie " doit s'examiner à l'aune d'une appréciation globale des circonstances (ATF 2C_839/2010 du 25 février 2011 consid. 7.1.2; 2C_546/2010 du 30 novembre 2010 consid. 5.2.1 et 2C_68/2010 du 29 juillet 2010 consid. 4.3; Martina Caroni, in: Caroni/Gächter/Thurnherr [éd.], Bundesgesetz über die Ausländerinnen und Ausländer, Berne 2010, § 21 ad art. 50 LEtr, p. 477). En l’espèce, s’agissant en premier lieu du respect de l’ordre juridique et des principes démocratiques, il faut relever que le recourant a été condamné à deux reprises: le 31 octobre 2008, pour appropriation illégitime et utilisation frauduleuse d’un ordinateur à 45 jours-amende, avec sursis pendant deux ans et le 4 janvier 2010, pour vol, tentative de vol, dommages à la propriété à une peine pécuniaire de 60 jours-amende, le sursis étant au surplus révoqué. Les délits reprochés au recourant ne sont pas bénins et ils sont répétés. Concernant la situation financière du recourant, il ressort du dossier que le recourant est à présent à la charge de l’aide sociale. Il exerçait certes auparavant une activité professionnelle, mais qui ne pouvait lui permettre à elle seule d’être financièrement autonome (800 à 900 francs par mois). Compte tenu des deux éléments qui précèdent, l'intégration du recourant ne saurait être considérée comme réussie au sens de l’art. 50 al. 1 let. a LEtr.</w:t>
      </w:r>
    </w:p>
    <w:p>
      <w:r>
        <w:rPr>
          <w:b/>
        </w:rPr>
        <w:t>E. 5</w:t>
      </w:r>
    </w:p>
    <w:p>
      <w:r>
        <w:t>Il convient encore d’examiner si le recourant peut se prévaloir de l’existence d’un cas de rigueur au sens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OASA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 Ermessensbewilligung ), l’art. 50 LEtr a expressément été voulu par le législateur afin de prévoir un droit à une autorisation ( Anspruchsbewilligung )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de céans a jugé qu’une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b) En l’espèce, le recourant ne prétend pas avoir fait l’objet de violences conjugales durant la vie commune, pas plus que sa réintégration dans son pays d’origine serait fortement compromise en raison de sa séparation d’avec son épouse ou du fait qu’il n’a plus d’attaches dans ce pays. Il invoque uniquement à l’appui de son recours le fait qu’il est bien intégré en Suisse et qu’il doit pouvoir y demeurer. Le recourant n’est entré en Suisse qu’en 2002, illégalement, à l’âge de 25 ans, légalement en 2006 à l’âge 29 ans. Il a par conséquent passé la plus grande partie de sa vie dans son pays d’origine, alors que son séjour légal en Suisse n’a duré que six ans, dont une partie en raison uniquement de l'effet suspensif accordé à son recours. Dans le cadre d’un arrêt récent, le Tribunal fédéral a jugé qu’à elles seules, la longue durée du séjour (principalement en tant que requérant d’asile et par dissimulation d’une union conjugale achevée) et l’intégration (travail régulier, absence de condamnations et de dépendance à l’aide sociale) ne suffisaient pas à rendre la poursuite du séjour imposable au sens de l’art. 50 al. 1 let. b LEtr (ATF 2C_682/2010 du 17 janvier 2011 consid. 3.2.2). En l’occurrence, le recourant ne démontre pas une intégration particulière en Suisse. En outre, un retour dans son pays d’origine, dans lequel il a passé l’essentiel de son existence, ne devrait pas poser de problème particulier, le recourant étant encore jeune et en bonne santé. c ) Compte tenu de ce qui précède, le recourant ne peut se prévaloir d'aucun droit à l'octroi d'une autorisation de séjour. C'est donc à juste titre que le SPOP a ordonné son renvoi.</w:t>
      </w:r>
    </w:p>
    <w:p>
      <w:r>
        <w:rPr>
          <w:b/>
        </w:rPr>
        <w:t>E. 6</w:t>
      </w:r>
    </w:p>
    <w:p>
      <w:r>
        <w:t>Les considérants qui précèdent conduisent dès lors au rejet du recours et à la confirmation de la décision attaquée. Vu le sort du recours, un émolument judiciaire sera mis à la charge du recourant (art. 49 et 91 de la loi sur la procédure administrative du 28 octobre 2008 [ LPA-VD; RSV 173.36 ] )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