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PE.2012.0010 vom 23. März 2012</w:t>
      </w:r>
    </w:p>
    <w:p>
      <w:r>
        <w:t>VD Tribunal cantonal, 2012-03-23, FR</w:t>
      </w:r>
    </w:p>
    <w:p>
      <w:r>
        <w:rPr>
          <w:b/>
        </w:rPr>
        <w:t xml:space="preserve">Quelle: </w:t>
      </w:r>
      <w:r>
        <w:t>https://mcp.opencaselaw.ch/entscheid/vd_omni_PE.2012.0010</w:t>
      </w:r>
    </w:p>
    <w:p>
      <w:r>
        <w:t>FR: VD_OMNI PE.2012.0010 du 23 mars 2012</w:t>
      </w:r>
    </w:p>
    <w:p>
      <w:r>
        <w:t>IT: VD_OMNI PE.2012.0010 del 23 marzo 2012</w:t>
      </w:r>
    </w:p>
    <w:p>
      <w:pPr>
        <w:pStyle w:val="Heading2"/>
      </w:pPr>
      <w:r>
        <w:t>Regeste</w:t>
      </w:r>
    </w:p>
    <w:p>
      <w:r>
        <w:t>X.________ SA c/Service de l'emploi, Service de la population (SPOP) | Demande de main d'oeuvre étrangère déposée en faveur d'un ressortissant roumain pour un poste d'employé polyvalent. Principe de l'ordre de priorité pas respecté, l'employeur n'ayant produit qu'une seule pièce pour prouver ses démarches sur le marché suisse du travail.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01.05.2011):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"Ordre de priorité" , est applicable, au moins par analogie, à l’admission en vue de l’exercice d’une activité lucrative en Suisse des ressortissants des nouveaux Etats membres de l’Union européenne (ATF 2C_217/2009 du 11 septembre 2009 consid. 2.2). Cette dernière disposition est ainsi applicable au cas particulier, dès lors que l'employé de la recourante est roumain.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(ch. 4.3.2.2, version 30.09.2011):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PE.2006.0692 du 29 janvier 2007).</w:t>
      </w:r>
    </w:p>
    <w:p>
      <w:r>
        <w:rPr>
          <w:b/>
        </w:rPr>
        <w:t>E. 3</w:t>
      </w:r>
    </w:p>
    <w:p>
      <w:r>
        <w:t>En l'espèce, la recourante affirme que, malgré les différentes recherches entreprises et un nombre important de candidats rencontrés, elle n'a trouvé personne correspondant au profil recherché sur le marché suisse du travail. Pour prouver ses démarches, elle n'a toutefois produit qu'une seule pièce, à savoir un courrier électronique de l'ORP du 21 décembre 2011 indiquant que personne ne correspondait. Dans ces conditions, force est de constater que la recourante n'a pas démontré avoir déployé des efforts suffisants pour trouver un employé sur le marché indigène. Par ailleurs, la seule preuve de recherche produite est postérieure non seulement à la demande d'autorisation de séjour avec activité lucrative, mais également à la décision attaquée. Cette démarche auprès de l'ORP semble ainsi avoir été accomplie uniquement pour la forme. En conséquence, l'autorité intimée n'a pas abusé de son pouvoir d'appréciation en refusant d'octroyer l'autorisation sollicitée au motif que la recourante n'a pas respecté l'ordre de priorité auquel est soumis l'engagement d'un ressortissant roumain.</w:t>
      </w:r>
    </w:p>
    <w:p>
      <w:r>
        <w:rPr>
          <w:b/>
        </w:rPr>
        <w:t>E. 4</w:t>
      </w:r>
    </w:p>
    <w:p>
      <w:r>
        <w:t>Les considérants qui précèdent conduisent au rejet du recours et à la confirmation de la décision attaquée. La requête de mesures provisionnelles devient dès lors sans objet. Compte tenu de l'issue du litige, la recourant supportera les frais de justice (art. 49 LPA-VD). Il n'y a par ailleurs pas lieu d'allouer des dépens à l'une ou l'autre des parties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