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PE.2012.0001 vom 3. April 2012</w:t>
      </w:r>
    </w:p>
    <w:p>
      <w:r>
        <w:t>VD Tribunal cantonal, 2012-04-03, FR</w:t>
      </w:r>
    </w:p>
    <w:p>
      <w:r>
        <w:rPr>
          <w:b/>
        </w:rPr>
        <w:t xml:space="preserve">Quelle: </w:t>
      </w:r>
      <w:r>
        <w:t>https://mcp.opencaselaw.ch/entscheid/vd_omni_PE.2012.0001</w:t>
      </w:r>
    </w:p>
    <w:p>
      <w:r>
        <w:t>FR: VD_OMNI PE.2012.0001 du 3 avril 2012</w:t>
      </w:r>
    </w:p>
    <w:p>
      <w:r>
        <w:t>IT: VD_OMNI PE.2012.0001 del 3 aprile 2012</w:t>
      </w:r>
    </w:p>
    <w:p>
      <w:pPr>
        <w:pStyle w:val="Heading2"/>
      </w:pPr>
      <w:r>
        <w:t>Regeste</w:t>
      </w:r>
    </w:p>
    <w:p>
      <w:r>
        <w:t>A. X.________ Y.________/Service de la population (SPOP), Département de l'économie | Confirmation de la révocation de l'autorisation d'établissement d'une ressortissante italienne, polytoxicomane, condamnée à douze reprises depuis 1991 à des peines privatives de liberté pour une quotité totale excédant douze ans (la dernière fois en 2011 à huit mois de prison), principalement pour des infractions à la loi sur les stupéfiants et contre le patrimoine. Incapable de réfréner durablement son addiction aux produits stupéfiants, malgré plusieurs mesures thérapeutiques, la recourante présente une menace réelle, actuelle et suffisamment grave pour la sécurité et l'ordre publics suisses. Elle doit en outre se voir opposer une ingérence dans la protection de sa vie familiale à l'égard de sa fille. Recours rejeté. Recours au Tribunal fédéral rejeté (arrêt 2C_466/2012 du 14 novembre 2012).</w:t>
      </w:r>
    </w:p>
    <w:p>
      <w:pPr>
        <w:pStyle w:val="Heading2"/>
      </w:pPr>
      <w:r>
        <w:t>Erwägungen</w:t>
      </w:r>
    </w:p>
    <w:p>
      <w:r>
        <w:rPr>
          <w:b/>
        </w:rPr>
        <w:t>E. 1</w:t>
      </w:r>
    </w:p>
    <w:p>
      <w:r>
        <w:t>A titre de mesure d'instruction, la recourante a sollicité de pouvoir bénéficier d'un second échange d'écritures. Il n'y a toutefois pas lieu de faire suite à cette demande dans la mesure où les déterminations de l'autorité intimée ne contiennent aucun élément nouveau par rapport à la décision attaquée, circonstanciée à satisfaction de droit.</w:t>
      </w:r>
    </w:p>
    <w:p>
      <w:r>
        <w:rPr>
          <w:b/>
        </w:rPr>
        <w:t>E. 2</w:t>
      </w:r>
    </w:p>
    <w:p>
      <w:r>
        <w:t>a) Ressortissante italienne, la recourante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le retrait de l'autorisation d'établissement UE/AELE, l'art. 63 LEtr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ATF 2C_473/2011 du 17 octobre 2011 consid. 2.1). Aux termes de l'art. 63 al. 2 LEtr, l'autorisation d'établissement d'un étranger qui séjourne en Suisse légalement et sans interruption depuis plus de quinze ans peut être révoquée s'il attente de manière très grave à la sécurité et l'ordre publics en Suisse ou à l'étranger, les met en danger ou représente une menace pour la sécurité intérieure ou extérieure de la Suisse (art. 63 al. 1 let. b LEtr), s'il a été condamné à une peine privative de liberté de longue durée – soit dépassant un an d'emprisonnement (ATF 135 II 377 consid. 4.2 p. 380 s.), durée devant impérativement résulter d'un seul jugement pénal (ATF 137 II 297 consid. 2 p. 299 ss) – ou s'il a fait l'objet d'une mesure pénale prévue aux art. 64 ou 61 du code pénal (art. 62 let. b LEtr). Il découle de la systématique des art. 63 al. 1 et al. 2 LEtr que l'énumération des cas de révocation est alternative et qu'il suffit donc que l'un soit donné pour que la condition objective de révocation soit remplie (ATF 2C_242/2011 du 23 septembre 2011 consid. 3.3.1). Une personne attente "de manière très grave" à la sécurité et à l'ordre publics lorsque ses actes lèsent ou compromettent des biens juridiques particulièrement importants comme l'intégrité corporelle, physique ou sexuelle (ATF 137 II 297 consid. 3 p. 302 ss). D'autres atteintes à des biens protégés peuvent également être qualifiées de "très graves" au sens de l'art. 63 al. 1 let. b LEtr. Ainsi, le Conseil fédéral précisait dans son message que la révocation de l'autorisation d'établissement était envisageable lorsqu'une personne avait violé de manière répétée, grave et sans scrupule la sécurité et l'ordre publics par des comportements relevant du droit pénal et montrait ainsi qu'elle n'avait ni la volonté ni la capacité de respecter à l'avenir le droit (FF 2002 3469 p. 3565; ATF 2C_242/2011 précité consid. 3.3.3; 2C_41/2011 du 30 juin 2011 consid. 2.2). Telle révocation a ainsi été confirmée dans le cas d'un ressortissant italien de deuxième génération ayant été condamné 38 fois à des peines allant de 1 jour à 18 mois pour divers délits en matière de stupéfiants, brigandages, vols, lésions corporelles et violations de domicile (ATF 2C_41/2011 précité). b) En l'espèce, la recourante se prévaut tout d'abord de l'inapplicabilité à son cas de l'art. 62 let. b LEtr au motif que sa dernière condamnation à une peine privative de liberté excédant une année remonte à plus de sept ans. Elle conteste ensuite avoir attenté de manière très grave à la sécurité et à l'ordre publics suisses ou les avoir mis en danger au sens de l'art. 63 al. 1 let. b LEtr. Relativisant la gravité de ses délits, elle expose n'avoir jamais usé de violence ces douze dernières années, se limitant à subtiliser le contenu de sacs à main laissés sans surveillance dans le seul but de se procurer des stupéfiants. Elle relève également ne pas avoir porté atteinte à la santé publique par ses infractions en matière de stupéfiants, ne s'étant jamais adonnée au trafic. Les deux cambriolages, résultant selon ses explications de sollicitations d'une connaissance, avaient été commis alors qu'elle était sous l'effet de substances. La recourante indique enfin avoir vécu ses délits avec honte et culpabilité. c) Il sied d'emblée de relever que la dernière des cinq condamnations de la recourante à des peines d'emprisonnement excédant une année remonte au 19 février 2004. Sous l'angle du principe de la bonne foi, l'on peut dès lors se demander si ces peines, antérieures au prononcé de l'avertissement du SPOP du 4 juin 2010, peuvent fonder une révocation de l'autorisation d'établissement au sens de l'art. 62 let. b LEtr. Cette question peut en l'espèce demeurer indécise dans la mesure où la recourante remplit à tout le moins l'un des motifs alternatifs tirés de l'art. 63 al. 1 let. b LEtr, soit la mise en danger de la sécurité et de l'ordre publics suisses. L'intéressée, qui a régulièrement occupé la justice pénale depuis 1991, a en effet été condamnée à douze reprises à des peines privatives de liberté pour une quotité totale de douze ans, trois mois et quinze jours, durée se situant bien au-delà de la limite indicative de deux ans posée par la jurisprudence et à partir de laquelle l'intérêt public à l'éloignement l'emporte en principe sur l'intérêt privé de l'étranger à pouvoir rester en Suisse (ATF 135 II 377 consid. 4.3 et 4.4 p. 381 s.). La recourante soutient à cet égard en vain qu'il y aurait lieu de faire abstraction des infractions radiées du casier judiciaire dans l'intervalle (voir en ce sens l'ATF 2C_749/2011 du 20 janvier 2012 consid. 3.3). Outre deux anciennes condamnations sanctionnant des actes de violence (brigandage en 1997 et lésions corporelles simples en 1999), elle a essentiellement commis des infractions à la LStup et contre le patrimoine. Certes n'a-t-elle pas pris part à un trafic et a manifestement agi dans le seul but de financer sa propre consommation de stupéfiants. Ses innombrables condamnations pénales, à une cadence quasi annuelle depuis 1991 (hormis une accalmie entre 2005 et 2007), révèlent toutefois son incapacité durable à observer l'ordre juridique suisse nonobstant les sanctions et les mesures prononcées à son endroit qui n'ont manifestement produit aucun effet dissuasif.</w:t>
      </w:r>
    </w:p>
    <w:p>
      <w:r>
        <w:rPr>
          <w:b/>
        </w:rPr>
        <w:t>E. 3</w:t>
      </w:r>
    </w:p>
    <w:p>
      <w:r>
        <w:t>a) Reste toutefois à examiner si cette révocation se justifie sous l'angle des conditions dont l'ALCP fait dépendre la limitation des droits qu'il confère (ATF précité 2C_473/2011 consid. 4). C'est là encore à tort que la recourante exclut l'application à son cas de l'ALCP au motif qu'il n'offrirait pas une solution plus favorable que la LEtr. En cela, elle perd manifestement de vue que l'art. 5 annexe I ALCP peut se révéler plus favorable dès lors qu'il s'agit d'examiner, comme on le verra ci-après, le cas d'espèce au regard d'une menace actuelle pour l'ordre public (arrêt PE.2009.0373 du 2 juin 2010 consid. 2a; cas récents où la révocation de l'autorisation d'établissement de ressortissants italiens a également été examinée à la lumière de l'ALCP: ATF 2C_312/2011 du 26 juillet 2011; 2C_41/2011 du 30 juin 2011). b) A l'instar des autres droits conférés par l'ALCP, le droit de demeurer en Suisse pour y exercer une activité lucrative ne peut être limité que par des mesures d'ordre ou de sécurité publics, aux termes de l'art. 5 par. 1 annexe I ALCP, dont le cadre et les modalités sont définis par les trois directives citées – la plus importante étant la directive 64/221/CEE – , ainsi que par la jurisprudence y relative de la Cour de justice des Communautés européennes (ci-après: CJCE) (cf. art. 5 par. 2 annexe I ALCP en lien avec l'art. 16 al. 2 ALCP; ATF 2C_486/2011 du 13 décembre 2011 consid. 2). Conformément à la jurisprudence de la CJCE, les limites posées au principe de la libre circulation des personnes doivent s'interpréter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et les arrêts cités de la CJCE; 2C_547/2010 du 10 décembre 2010 consid. 3). Les mesures d'ordre public ou de sécurité publique doivent être fondées exclusivement sur le comportement personnel de l'individu qui en fait l'objet (art. 3 par. 1 de la directive 64/221/CEE); partant, des motifs de prévention générale détachés du cas individuel ne sauraient les justifier (ATF 130 II 176 consid. 3.4.1 p. 183; 129 II 215 consid. 7.1 p. 221; arrêt CJCE du 28 février 1975 Bonsignore, Rec. 1975 p. 297 pts 6 et 7). Selon l'art. 3 par. 2 de la directive 64/221/CEE, la seule existence de condamnations pénales ne peut automatiquement motiver de telles mesures. Tout automatisme qui reviendrait à prononcer une mesure d'éloignement du pays à la suite d'une condamnation pénale sans véritablement tenir compte du comportement personnel de l'auteur de l'infraction, ni du danger qu'il représente pour l'ordre public est proscrit (arrêt CJCE C-482/01 du 29 avril 2004 Orfanopoulos, pts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130 II 176 consid. 3.4.1 p. 183; cf. également ATF 134 II 10 consid. 4.3 p. 24 qui souligne le " rôle déterminant " du risque de récidive). Selon les circonstances, la jurisprudence admet néanmoins que le seul fait du comportement passé de la personne concernée puisse réunir les conditions de pareille menace actuelle (ATF 130 II 176 consid. 3.4.1 p. 183 s. et l'arrêt cité de la CJCE du 27 octobre 1977 C-30/77 Bouchereau, Rec. 1977 p. 1999 ch.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c) En l'espèce, la recourante relève avoir pris conscience de sa situation lors de sa comparution le 7 avril 2011 devant le Tribunal correctionnel et fait valoir qu'elle ne représente plus une menace ou un danger réel pour la société. Soulignant que ses délits trouvaient leur source dans son besoin d'assouvir sa dépendance aux produits stupéfiants, elle met en exergue son actuelle abstinence et l'absence de commission de nouveaux délits depuis le début de son traitement. Elle explique les échecs des précédents traitements par l'absence de suivi dans un cadre résidentiel et indique que sans le décès de son époux, il est " quasi certain " qu'elle n'aurait plus occupé la justice pénale. Dans leur rapport d'expertise psychiatrique du 9 mars 2010, mentionné dans le jugement du 16 mars 2010, les experts posaient le diagnostic de trouble de la personnalité de type borderline, ainsi que d'une addiction aux opiacés, aux benzodiazépines et à la cocaïne. Ils concluaient à un risque important de rechute dans la toxicomanie qui entraînait un risque non négligeable de récidive d'infractions similaires. La recourante, qui a précisément commis de nouvelles infractions dès le mois de mai 2010 et en mars 2011, n'est manifestement pas parvenue à tirer un enseignement des nombreuses sanctions infligées. Elle n'a de surcroît pas honoré la confiance placée en elle, récidivant notamment un mois après avoir été libérée conditionnellement à fin décembre 2007 et commettant ses dernières infractions en mars 2011, alors qu'elle se savait sous le coup d'un avertissement du SPOP. Elle n'a enfin pas pu ou su tirer profit des mesures thérapeutiques qui ont jusqu'ici été mises en œuvre pour tenter de soigner ses addictions, qui se sont toutes soldées par un échec. Ainsi, en dépit du traitement ambulatoire prononcé le 16 mars 2010 par le Tribunal correctionnel, lequel insistait sur le fait que l'intéressée – qui avait dit comprendre l'importance de se soigner – devait s'investir de façon extrêmement sérieuse dans son traitement pour rompre le cercle vicieux dont elle était prisonnière et offrir une relation de qualité à sa fille (jugement du 16 mars 2010, p. 10), la recourante a rapidement récidivé en mai et juin 2010 déjà, en consommant des somnifères quotidiennement et de la cocaïne deux fois par semaine, en volant au total six portes-monnaie, sacs à main et sac à dos et en retirant 3'500 fr. au moyen d'une carte bancaire y contenue. Il ressort en outre du jugement du 7 avril 2011 que, admise sur sa propre demande au Centre du Levant en août 2010 et libérée de préventive dans ce but, elle avait toutefois introduit des substances prohibées au centre, ce qui lui avait valu une première exclusion du 29 décembre 2010 au 10 janvier 2011, une deuxième exclusion du 11 au 17 février 2011 et une exclusion définitive le 17 février 2011. Relevant encore que l'intéressée avait entrepris des démarches pour être admise à la Fondation Bartimée, le Tribunal correctionnel soulignait qu'il était apparu lors des débats du 7 avril 2011 que des prises d'urine s'étaient révélées positives et que l'on comprenait donc que l'intéressée, malgré toute sa bonne volonté et son sens de l'initiative, n'était pas sortie d'affaire (p. 10 s.). Incapable de maintenir une abstinence durable, la recourante reproduit depuis des années le même schéma inquiétant, sans réelle prise de conscience, ni évolution significative, ce qui dénote chez elle un ancrage profond dans la toxicomanie et la délinquance. A cela s'ajoute qu'un bon comportement dans un milieu protégé et surveillé, où elle bénéfice d’un encadrement et d'un suivi spécifiques, ne permet pas de conclure qu'elle aurait opéré un redressement durable tel qu'il serait permis de formuler un pronostic favorable quant au risque de récidive qu'elle présente et de présager avec certitude de son attitude lorsqu’elle sera remise en liberté et livrée à elle-même. Ses bonnes intentions passées ne se sont à cet égard pas concrétisées. Force est ainsi d'admettre qu'elle présente une menace réelle, actuelle et suffisamment grave pour justifier une mesure de limitation de son droit de séjour en application de l’art. 5 par. 1 annexe I ALCP.</w:t>
      </w:r>
    </w:p>
    <w:p>
      <w:r>
        <w:rPr>
          <w:b/>
        </w:rPr>
        <w:t>E. 4</w:t>
      </w:r>
    </w:p>
    <w:p>
      <w:r>
        <w:t>a) Tant en application de l'ALCP que de la LEtr, la révocation ne se justifie toutefois que si la pesée des intérêts publics et privés effectuée dans le cas d'espèce fait apparaître la mesure comme proportionnée aux circonstances. A cet égard, il faut prendre en considération la situation personnelle de l'étranger, son degré d'intégration (art. 96 al. 1 LEtr), mais également la gravité de la faute et les inconvénients que l'intéressé et sa famille pourraient subir (ATF 135 I 377 consid. 4.3 p. 381). La durée de présence en Suisse d'un étranger constitue un autre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ou en cas de récidive. On tiendra alors particulièrement compte de l'intensité des liens de l'étranger avec la Suisse et des difficultés de réintégration dans son pays d'origine (ATF 125 II 521 consid. 2b p. 523; 122 II 433 consid. 2c p. 436; voir également 130 II 176 consid. 3.4.2 p. 184). b) L a recourante invoque la présence en Suisse de sa fille C., ressortissante italienne titulaire d'une autorisation d'établissement. Il convient d'emblée de relever que l'intéressée ne détient plus la garde de cette enfant, placée sous tutelle depuis 2007. Elle ne peut ainsi de toute manière pas prétendre à la délivrance d'une autorisation de séjour en vertu des art. 3 par. 1 annexe I et 24 annexe I ALCP, sans qu'il soit nécessaire d'examiner en sus si les autres conditions posées à l'art. 24 annexe I ALCP sont remplies (ATF 2C_190/2011 du 23 novembre 2011 consid. 4; arrêt PE.2010.0180 du 27 janvier 2011 consid. 5). Pour pouvoir se prévaloir l'art. 8 CEDH, l'étranger doit entretenir une relation étroite et effective (ATF 131 II 265 consid. 5 p. 269) avec une personne de sa famille ayant un droit de présence assuré en Suisse, ce qui suppose que cette personne ait la nationalité suisse, une autorisation d'établissement en Suisse ou un droit certain à une autorisation de séjour en Suisse (ATF 135 I 143 consid. 1.3.1 p. 145 s.). D'après une jurisprudence constante, les relations visées par l'art. 8 CEDH sont avant tout celles qui existent entre époux, ainsi qu'entre parents et enfants mineurs vivant en ménage commun (ATF 135 I 143 consid. 1.3.2 p. 146).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Ce droit n'est pas absolu et une ingérence dans l'exercice du droit au respect de la vie privée et familiale est possible conformément à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Il paraît en l'espèce douteux que la recourante, autorisée à exercer son droit de visite à l'égard de sa fille dans le cadre très limité de visites mensuelles médiatisées, puisse se prévaloir d'une relation effective et étroite avec celle-ci et invoquer l'art. 8 par. 1 CEDH afin de ne pas être séparée d'elle. Point n'est toutefois besoin de trancher définitivement cette question dès lors qu'une ingérence dans l'exercice du droit au respect de la vie familiale est de toute manière nécessaire à la défense de l'ordre et à la prévention des infractions au sens de l'art. 8 par. 2 CEDH. c) La recourante indique qu'elle est née en Suisse et n'a aucune attache en Italie, pays dont elle ignore les us et coutumes, en particulier ceux de la Sicile d'où elle est originaire. Elle soutient qu'un renvoi accentuerait sa détresse et la placerait dans une situation encore plus précaire, tant du point de vue de sa santé que de son environnement social. Le tribunal n'est pas insensible au parcours de la recourante, aujourd'hui âgée de 42 ans, et aux épreuves qui ont jalonné son existence. Ces circonstances ne permettent toutefois pas de conclure que sa réintégration en Italie serait compromise et qu'un retour dans son pays d'origine – dont elle ne prétend pas ignorer la langue – l'exposerait à des difficultés insurmontables. On relèvera à cet égard qu'elle n'est pas nécessairement tenue de retourner en Sicile, mais qu'elle demeure libre de s'établir dans toute autre province italienne, par exemple dans une région limitrophe de la Suisse, de telle manière à réduire la distance géographique qui la séparera de sa fille. Elle pourra du reste y bénéficier si besoin d'une prise en charge thérapeutique et d'un suivi médical du même niveau qu'en Suisse. L'importante fortune léguée par son défunt conjoint devrait enfin la mettre à l'abri du besoin et lui permettra de financer ses déplacements en vue de venir visiter son enfant. A cet égard, contrairement à ce que soutient la recourante, le fait de permettre à cette dernière d'entrer en Suisse dans le cadre strict de séjours touristiques aux fins de voir son enfant n'apparaît en rien contradictoire avec la nécessité de ne plus lui reconnaître le droit de demeurer durablement en Suisse. e) Tout bien pesé, compte tenu de la multiplicité des infractions commises et du risque de récidive important, l'intérêt privé de la recourante à demeurer en Suisse – où elle est née – auprès de sa fille ne l'emporte pas sur l'intérêt public à son éloignement, nécessaire à la défense de l'ordre et de la sécurité publics. Partant, l'autorité intimée n'a pas violé les dispositions du droit fédéral ou celles de l'ALCP, pas plus qu'elle n'a abusé de son pouvoir d'appréciation en révoquant l'autorisation d'établissement de la recourante.</w:t>
      </w:r>
    </w:p>
    <w:p>
      <w:r>
        <w:rPr>
          <w:b/>
        </w:rPr>
        <w:t>E. 5</w:t>
      </w:r>
    </w:p>
    <w:p>
      <w:r>
        <w:t>Il résulte des considérants qui précèdent que le recours doit être rejeté et la décision attaquée confirmée. Un émolument de justice est mis à la charge de la recourante, qui n'a pas droit à des dépens (art. 49, 55, 91 et 99 de la loi vaudoise du 28 octobre 2008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