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PE.2011.0449 vom 26. Juni 2012</w:t>
      </w:r>
    </w:p>
    <w:p>
      <w:r>
        <w:t>VD Tribunal cantonal, 2012-06-26, FR</w:t>
      </w:r>
    </w:p>
    <w:p>
      <w:r>
        <w:rPr>
          <w:b/>
        </w:rPr>
        <w:t xml:space="preserve">Quelle: </w:t>
      </w:r>
      <w:r>
        <w:t>https://mcp.opencaselaw.ch/entscheid/vd_omni_PE.2011.0449</w:t>
      </w:r>
    </w:p>
    <w:p>
      <w:r>
        <w:t>FR: VD_OMNI PE.2011.0449 du 26 juin 2012</w:t>
      </w:r>
    </w:p>
    <w:p>
      <w:r>
        <w:t>IT: VD_OMNI PE.2011.0449 del 26 giugno 2012</w:t>
      </w:r>
    </w:p>
    <w:p>
      <w:pPr>
        <w:pStyle w:val="Heading2"/>
      </w:pPr>
      <w:r>
        <w:t>Regeste</w:t>
      </w:r>
    </w:p>
    <w:p>
      <w:r>
        <w:t>X.________ c/Service de l'emploi, Service de la population (SPOP) | Employée roumaine, sans autorisation de séjour et de travail, engagée en qualité de serveuse au sein d'un établissement public en juillet 2010. Exploitation de cet établissement reprise par un nouvel exploitant à partir du 1er mai 2011. Contrôle effectué en septembre 2011 par le Service de l'emploi, qui constate que l'employée roumaine en question travaille sans les autorisations nécessaires. Second contrôle effectué en octobre 2011, relevant que des prescriptions légales et réglementaires en matière de conditions de travail et de salaire au sein de l'établissement n'étaient pas respectées. Sommation notifiée par le Service de l'emploi au nouvel exploitant et facturation à celui-ci des frais de contrôles par 845 francs. Recours de l'exploitant contre ces deux décisions (qui font l'objet d'une seule cause), qui invoque sa bonne foi, n'ayant pas eu connaissance de l'absence d'autorisations de son employée lors de la reprise de l'établissement public. Recours rejeté et décisions confirmées, la simple omission de procéder à l'examen du titre de séjour ou de se renseigner auprès des autorités compétentes constituant déjà une violation du devoir de diligence de l'employeur. Il appartenait au recourant, lors de la reprise de l'établissement public, de s'assurer que le personnel repris était en conformité s'agissant des autorisations de travail.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Quand bien même le recourant ne mentionne pas expressément contre quelle décision du 2 décembre 2011 le recours est dirigé, se référant à "la décision du 2 décembre 2011", le tribunal considérera que celui-ci porte sur les deux décisions précitées. En effet, ce serait faire preuve de formalisme excessif que d'admettre que le recourant, qui n'est pas assisté dans ses actes de procédure, n'entendait contester que la première décision du 2 décembre 2011, et non celle portant sur les frais de contrôle. On rappelle en effet que le recourant a conclu à ce que tous les frais de procédure et amendes soient mis à la charge de A.________, ce qui signifie bien qu'il conteste toute condamnation de quelque nature que ce soit. Pour le surplus, le recours respecte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a) L'art. 123 al. 1 LEtr dispose que des émoluments peuvent être prélevés pour les décisions rendues et les actes officiels effectués en vertu de ladite loi; les débours occasionnés par les procédures prévues dans la LEtr peuvent être facturés en sus. L'art. 5 al. 1 ch. 23a du règlement vaudois du 8 janvier 2001 fixant les émoluments en matière administrative (RE-Adm; RSV 172.55.1) prévoit la perception d'un émolument de 250 fr. pour une sommation en cas de non-respect des prescriptions du droit des étrangers. Conformément à la doctrine et à la jurisprudence, l’émolument administratif est la contrepartie financière due par l’administré qui a recours à un service public, que l’activité de ce dernier ait été déployée d’office ou que l’administré l’ait sollicitée (Blaise Knapp, Précis de droit administratif, 4 ème éd., Bâle 1991, nos 2777 et 2780, et les références citées). L’émolument est dû dès que l’activité administrative s’est déroulée ou que la prestation publique est requise ou a été fournie (Pierre Moor, Droit administratif, vol. III, Berne 1992, no 7.2.4.1, p. 364, et les références citées). b) En l'espèce, dans la mesure où la sommation prononcée est comme on l'a vu justifiée, un émolument est dû pour la décision rendue. Quant au montant de 250 fr. réclamé, il est conforme au règlement. Pour le surplus, le recourant ne prétend pas que ce montant serait excessif. La décision attaquée doit dès lors être confirmée sur ce point également.</w:t>
      </w:r>
    </w:p>
    <w:p>
      <w:r>
        <w:rPr>
          <w:b/>
        </w:rPr>
        <w:t>E. 4</w:t>
      </w:r>
    </w:p>
    <w:p>
      <w:r>
        <w:t>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En l'espèce, comme exposé au considérant 2c ci-dessus, il est établi que le recourant a occupé à son service une travailleuse étrangère sans s'assurer qu'elle était autorisée à séjourner et à exercer une activité lucrative en Suisse et il n'a pas pris les dispositions qui lui incombaient. C'est dès lors à juste titre que l'autorité intimée a mis à sa charge les frais occasionnés par les contrôles des 16 septembre et 7 octobre 2011. Pour le surplus, le recourant n'a pas contesté le décompte d'heures ni le tarif appliqué – seul le principe de la condamnation étant contesté. La seconde décision du décembre 2011 est donc aussi bien fondée.</w:t>
      </w:r>
    </w:p>
    <w:p>
      <w:r>
        <w:rPr>
          <w:b/>
        </w:rPr>
        <w:t>E. 5</w:t>
      </w:r>
    </w:p>
    <w:p>
      <w:r>
        <w:t>Il résulte de ce qui précède que le recours doit être rejeté, aux frais de son auteur (art. 49 al. 1, 91 et 99 LPA-VD), et les décisions attaquées,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