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PE.2011.0434 vom 8. August 2012</w:t>
      </w:r>
    </w:p>
    <w:p>
      <w:r>
        <w:t>VD Tribunal cantonal, 2012-08-08, FR</w:t>
      </w:r>
    </w:p>
    <w:p>
      <w:r>
        <w:rPr>
          <w:b/>
        </w:rPr>
        <w:t xml:space="preserve">Quelle: </w:t>
      </w:r>
      <w:r>
        <w:t>https://mcp.opencaselaw.ch/entscheid/vd_omni_PE.2011.0434</w:t>
      </w:r>
    </w:p>
    <w:p>
      <w:r>
        <w:t>FR: VD_OMNI PE.2011.0434 du 8 août 2012</w:t>
      </w:r>
    </w:p>
    <w:p>
      <w:r>
        <w:t>IT: VD_OMNI PE.2011.0434 del 8 agosto 2012</w:t>
      </w:r>
    </w:p>
    <w:p>
      <w:pPr>
        <w:pStyle w:val="Heading2"/>
      </w:pPr>
      <w:r>
        <w:t>Regeste</w:t>
      </w:r>
    </w:p>
    <w:p>
      <w:r>
        <w:t>A.X. ________ Y.________/Service de la population (SPOP) | Ressortissant équatorien entré en Suisse illégalement à plusieurs reprises, faisant l'objet d'une interdiction d'entrée en Suisse. Mariage avec une citoyenne suisse en 2004, qui conduit à la délivrance d'une autorisation de séjour. En 2009, demande de l'intéressé tendant à la délivrance d'une autorisation d'établissement. Refus du SPOP en raison des condamnations pénales du requérant, l'autorité souhaitant "garder le dossier de l'intéressé sous contrôle", celui-ci gardant "la faculté de présenter une nouvelle demande dès lors qu'il estimera que les motifs qui ont conduit à la décision négative ne lui sont plus opposables". Nouvelle demande de permis d'établissement formée en 2011, traitée comme une demande de réexamen, que le SPOP rejette. Recours. C'est à tort que l'autorité intimée a refusé d'entrer en matière sur la demande de réexamen formée par le recourant, au motif que celui-ci ne pouvait se prévaloir de la survenance de circonstances nouvelles. En effet, si en soi il est exact que le simple écoulement du temps ou une évolution normale de l'intégration en Suisse ne constituent pas des modifications de circonstances pouvant conduire à une reconsidération, la problématique se pose ici en d'autres termes. En effet, la première demande d'octroi d'une autorisation d'établissement a été refusée au recourant pour des motifs d'ordre public. Or, le seul moyen pour le recourant d'étabir que ces motifs ne lui sont plus opposables est de démontrer l'existence sur la durée d'un comportement irréprochable, exempt de toute condamnation. En l'espèce, le recourant ne paraît plus avoir commis d'infractions depuis le premier refus d'autorisation d'établissement. Il convient néanmoins de vérifier s'il réalise les autres conditions à la délivrance de l'autorisation requise. Recours partiellement admis.</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Enfin, selon le Tribunal fédéral, le simple écoulement du temps et une évolution normale de l'intégration en Suisse n'entraînent nullement une modification des circonstances de nature à admettre une reconsidération (TF 2A.180/2000 du 14 août 2000). b) En l'espèce, l'autorité intimée a rejeté la première demande d'octroi d'une autorisation d'établissement formée par le recourant par décision du 20 novembre 2009, pour des motifs d'ordre public liés aux condamnations dont avait fait l'objet le recourant. Cette décision est entrée en force. A l'époque, l'autorité intimée avait aussi motivé sa décision par le fait qu'au vu des infractions répétées commises par le recourant, il se justifiait de garder son dossier "sous contrôle" . En d'autres termes, il s'agissait de pouvoir avoir un oeil sur l'évolution du recourant avant de lui délivrer l'autorisation requise. C'est dans ces conditions que l'autorisation de séjour du recourant a été prolongée non pas pour une, mais pour deux années, jusqu'au 14 octobre 2011. Le recourant a formé sa seconde demande d'octroi d'un permis d'établissement dans le cadre de la procédure de renouvellement de son autorisation de séjour. L'autorité intimée a rejeté cette demande, en invoquant l'ordonnance de condamnation rendue le 4 décembre 2009 par le Juge d'instruction de l'arrondissement de Lausanne en relation avec des violations des règles de la circulation routière dont s'était rendu coupable le recourant. Aux yeux de l'autorité intimée, cette condamnation confirmait que des motifs d'ordre public demeuraient opposables au recourant et, partant, que l'écoulement du temps ne lui était d'aucun secours. Cette argumentation de l'autorité intimée ne saurait être suivie. Si, en soi, il est exact que le simple écoulement du temps ou une évolution normale de l'intégration en Suisse ne constituent pas des modifications de circonstances pouvant conduire à une reconsidération, la problématique se pose en d'autres termes dans la présente cause. En effet, la demande d'octroi d'une autorisation d'établissement a été refusée au recourant pour des motifs d'ordre public par décision du 20 novembre 2009. Or, comme l'a expressément mentionné l'autorité intimée dans cette décision, le recourant gardait "la faculté de présenter une nouvelle demande dès lors qu'il estimera que les motifs qui ont conduit à la décision négative ne lui sont plus opposables" . Dans le cas du recourant, le seul moyen d'établir que les motifs d'ordre public retenus ne lui sont plus opposables et, partant, de pouvoir prétendre à l'octroi d'une autorisation d'établissement, est de démontrer l'existence sur la durée d'un comportement irréprochable, exempt de toute condamnation. Le recourant ne se trouve en effet pas dans la même situation, par exemple, qu'un condamné en fin de détention, suivi par l'autorité dans l'exécution de sa peine, et qui pourrait faire état de rapports médicaux permettant d'attester d'un changement sensible dans sa situation personnelle qui justifierait le réexamen de décisions rendues à son encontre. L'écoulement du temps doit dans le cas du recourant non pas être uniquement pris en tant que tel, indépendamment de l'évolution de l'intéressé, mais précisément en tenant compte de celle-ci, en examinant s'il est maintenant enfin capable sur la durée de respecter l'ordre juridique suisse. Cette circonstance serait alors un fait qui pourrait être pris en considération pour fonder une demande de réexamen sur la base de l'art. 64 al. 2 let. a LPA-VD. Dans la présente cause, l'autorité intimée s'est fondée sur la dernière condamnation du recourant pour justifier le rejet de sa demande de réexamen. Si effectivement l'ordonnance du juge d'instruction du 4 décembre 2009 est postérieure à la décision du 20 novembre 2009, l'autorité intimée perd de vue que les faits ayant conduit à cette condamnation sont eux antérieurs, puisqu'ils remontaient au 30 mai 2009, soit environ six mois avant la décision. Aussi convient-il d'admettre que, sous réserve de condamnations qui auraient été prononcées récemment et dont il ne serait pas encore fait état dans le dossier de la cause, le recourant ne paraît plus avoir porté atteinte à l'ordre public depuis la décision de l'autorité intimée du 20 novembre 2009. C'est dans ces conditions à tort que l'autorité intimée a tenu compte de la dernière condamnation du recourant pour justifier le rejet de sa demande de réexamen, cette condamnation ne portant pas, encore une fois, sur des faits qui se seraient produits postérieurement à la décision précitée. Le recours doit être admis sur ce point.</w:t>
      </w:r>
    </w:p>
    <w:p>
      <w:r>
        <w:rPr>
          <w:b/>
        </w:rPr>
        <w:t>E. 3</w:t>
      </w:r>
    </w:p>
    <w:p>
      <w:r>
        <w:t>L'admission du recours ne conduit pas pour autant à la délivrance de l'autorisation d'établissement requise par le recourant. En effet, il est encore nécessaire de procéder à l'examen complet de la situation du recourant, sur la base de données actualisées (casier judiciaire, attestation de non dépendance de l'aide sociale, etc.), afin de voir s'il tombe ou non sous le coup de l'un des cas prévus à l'art. 51 al. 1 LEtr qui constituerait un obstacle à la délivrance de l'autorisation d'établissement requise. Si tel n'est pas le cas, l'autorité intimée devra également cas échéant indiquer les motifs qui, comme en 2009, justifieraient encore à ses yeux "de garder le dossier de l'intéressé sous contrôle". Le dossier sera ainsi renvoyé à l'autorité intimée pour qu'elle procède dans ce sens et rende une nouvelle décision.</w:t>
      </w:r>
    </w:p>
    <w:p>
      <w:r>
        <w:rPr>
          <w:b/>
        </w:rPr>
        <w:t>E. 4</w:t>
      </w:r>
    </w:p>
    <w:p>
      <w:r>
        <w:t>Il résulte de ce qui précède que le recours doit être partiellement admis et la décision entreprise annulée, le dossier étant renvoyé à l'autorité intimée pour complément d'instruction dans le sens des considérants et nouvelle décision. Les frais du présent arrêt sont laissés à la charge de l'Etat (art. 49 et 52 LPA-VD). Le recourant, qui a procédé par l'intermédiaire d'un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