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PE.2011.0414 vom 30. Januar 2012</w:t>
      </w:r>
    </w:p>
    <w:p>
      <w:r>
        <w:t>VD Tribunal cantonal, 2012-01-30, FR</w:t>
      </w:r>
    </w:p>
    <w:p>
      <w:r>
        <w:rPr>
          <w:b/>
        </w:rPr>
        <w:t xml:space="preserve">Quelle: </w:t>
      </w:r>
      <w:r>
        <w:t>https://mcp.opencaselaw.ch/entscheid/vd_omni_PE.2011.0414</w:t>
      </w:r>
    </w:p>
    <w:p>
      <w:r>
        <w:t>FR: VD_OMNI PE.2011.0414 du 30 janvier 2012</w:t>
      </w:r>
    </w:p>
    <w:p>
      <w:r>
        <w:t>IT: VD_OMNI PE.2011.0414 del 30 gennaio 2012</w:t>
      </w:r>
    </w:p>
    <w:p>
      <w:pPr>
        <w:pStyle w:val="Heading2"/>
      </w:pPr>
      <w:r>
        <w:t>Regeste</w:t>
      </w:r>
    </w:p>
    <w:p>
      <w:r>
        <w:t>X.___________ c/Service de la population (SPOP) | Ressortissante marocaine ayant vécu aux côtés de son époux suisse moins de trois ans et dont le séjour en Suisse ne s'impose pas pour raisons majeures. Pour autant qu'ils soient établis, ce qui n'est pas certain, les épisodes de violence conjugale allégués ne revêtent pas l'intensité exigée par la jurisprudence. La recourante a toujours habité Casablanca où vivent ses parents; contrairement à ses allégations, elle ne devrait pas subir, à son retour au pays, de discrimination résultant de son statut de femme séparée ou divorcée (recours rejeté par le Tribunal fédéral).</w:t>
      </w:r>
    </w:p>
    <w:p>
      <w:pPr>
        <w:pStyle w:val="Heading2"/>
      </w:pPr>
      <w:r>
        <w:t>Erwägungen</w:t>
      </w:r>
    </w:p>
    <w:p>
      <w:r>
        <w:rPr>
          <w:b/>
        </w:rPr>
        <w:t>E. 1</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Aux termes de l’art. 42 de la loi fédérale du 16 décembre 2005 sur les étrangers (LEtr; RS 142.20),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L'art. 50 al. 1 let. a LEtr prévoit qu'après dissolution de la famille, le droit du conjoint à une autorisation de séjour en vertu de l'art. 42 LEtr subsiste si l'union conjugale a duré au moins trois ans et que l'intégration est réussie. b) Aussi longtemps que la recourante a vécu sous le même toit que son mari, elle disposait d’un droit à l’autorisation de séjour au regard de la disposition précitée. Ce droit s’est toutefois éteint à la fin de la vie commune, qui a duré moins de trois ans. En l’espèce en effet, il est constant que la recourante et son mari ne forment plus une communauté conjugale depuis le 16 décembre 2009, à tout le moins. La recourante ne peut donc plus se prévaloir de l'art. 42 al. 1 LEtr. Reste à savoir si d’autres dispositions lui permettent d'obtenir un titre de séjour en Suisse. La recourante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w:t>
      </w:r>
    </w:p>
    <w:p>
      <w:r>
        <w:rPr>
          <w:b/>
        </w:rPr>
        <w:t>E. 2</w:t>
      </w:r>
    </w:p>
    <w:p>
      <w:r>
        <w:t>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S'agissant de la violence conjugale,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p. 4; ATF 2C_759/2010 du 28 janvier 2011 consid. 5.2.1; 2C_590/2010 du 29 novembre 2010 consid. 2.5.3). Cela a été nié dans un cas où il était établi que l'épouse du recourant avait proféré à son encontre des cris et l'avait giflé une fois (ATF 136 II 1 consid. 5.4 p. 5) et dans un autre où la recourante avait allégué avoir reçu une gifle au cours d'une dispute conjugale et avoir été chassée du domicile conjugal (ATF 2C_358/2009 du 10 décembre 2009 consid. 5.2). Il en a été de même dans le cas d'un recourant qui affirmait avoir été une fois enfermé dehors par son épouse qui avait fait changer le cylindre de la porte d'entrée (ATF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(ATF 2C_590/2010, précité, consid. 2.5.2).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En l’occurrence, la recourante se prévaut en premier lieu des violences qu’elle aurait subies durant la vie commune avec Z.________________, se référant à son audition devant la police. Durant celle-ci, elle a sans doute indiqué que son époux lui aurait donné une claque et l’aurait saisie par le cou. La recourante reconnaît cela étant n’avoir pas porté plainte; en outre, aucun constat médical ne permet de corroborer ses dires. Or, Z.________________ a contesté, pour sa part, avoir commis le moindre acte de violence à l’endroit de la recourante. Celle-ci serait même intervenue afin que son époux déclare le contraire à la police, dans le but d’améliorer au demeurant sa situation vis-à-vis des autorités. La recourante s’est en outre référée à sa requête de séparation du 17 juin 2009, retirée le 8 juillet 2009. En aucun endroit de cette demande, il n’est pourtant fait état de violences de la part de Z.________________, excepté l’épisode au cours duquel ce dernier, à l’issue d’un appel téléphonique, aurait «tapé fort» sur les fesses de la recourante et menacé en vain de gifler celle-ci, qui lui aurait alors recommandé de seulement essayer. Cet événement apparaît comme trop isolé pour que l’on exige plus longtemps de la recourante qu'elle poursuive l'union conjugale, sous peine de mettre en péril sa santé physique ou psychique. Pour autant qu’elles soient établies, ce qui n’est pas certain, les violences alléguées par la recourante ne revêtent effectivement pas l'intensité exigée par la jurisprudence (dans le même sens, ATF 2C_358/2009 du 10 décembre 2009, consid. 5.2, déjà cité). La recourante a vécu au Maroc, son pays d'origine, à tout le moins jusqu’à fin 2006, soit jusqu'à l'âge de vingt ans. C’est dans ce pays et à Casablanca, où elle vivait à son départ, qu'elle a développé au cours de son enfance, de son adolescence et d'une partie de sa vie d'adulte ses attaches culturelles et sociales essentielles. Elle y a du reste toute sa famille, dont ses parents, excepté deux tantes et une cousine qui habitent la Suisse. La recourante ne peut dès lors se prévaloir d'attaches particulièrement étroites avec la Suisse. Certes, la recourante a travaillé dans la restauration durant la plus longue partie de son séjour, à la satisfaction de ses employeurs au demeurant; elle envisage en outre de travailler comme aide soignante. Sans doute favorables, ces éléments ne témoignent guère cependant d'une intégration particulièrement réussie, ceci d’autant moins que la recourante a elle-même admis devant la police qu’elle parlait mal le français. La recourante fait par ailleurs valoir la discrimination à laquelle elle pourrait être exposée après son retour au Maroc; or, ses parents vivent à Casablanca, la plus grande ville de ce pays. Le rapport dont elle se prévaut indique ainsi que la population urbaine est  marquée par l’émergence de nouvelles configurations relationnelles entre les sexes, marquées notamment par l’affaiblissement notable des liens de solidarité traditionnels, des changements dans l’organisation sociale et culturelle, dans ce que cela implique comme changement des perceptions, des rôles, des prérogatives et dans l’investissement de l’espace social, politique et communautaire ( rapport rédigé le 25 janvier 2006 par Hayat Zirari, Evolution des conditions de vie des femmes au Maroc, p. 188, cité dans l’arrêt PE.2009.0522 du 27 mai 2010). Du reste, comme le fait observer l’autorité intimée, il ressort de sa demande de permis que la recourante était aux études lorsqu’elle a quitté le Maroc. Au surplus, sa situation de femme séparée ou divorcée n’est guère comparable à celle de sa compatriote répudiée dont le Tribunal a eu à connaître dans l’arrêt PE.2009.0398 du 24 mars 2010. Quant à l’allégation de la recourante selon laquelle, au Maroc, il ne serait pas possible pour une veuve ou une femme divorcée de se remarier – à l’appui de laquelle la recourante n'a du reste apporté aucun élément de preuve -, on relèvera que l'auteur précité cite précisément l'abandon par la société marocaine actuelle de la condition de la virginité de la femme lors du mariage comme un élément significatif du changement des mentalités dans la société marocaine (Zirari, rapport p. 187). Il en ressort que, contrairement à ses allégations, la recourante ne devrait pas subir de discrimination résultant de son statut de femme séparée ou divorcée. La recourante fait sans doute part de ses projets de mariage avec son compagnon actuel, A.________________. Ceux-ci ne sont, en l’état, pas réalisables, au moins tant et aussi longtemps qu’elle n’a pas divorcé de Z.________________ et pour autant qu’il en soit de même de A.________________. Dès lors, cet élément ne saurait être pris en considération à l’appui de la poursuite du séjour de la recourante en Suisse. Au surplus, la recourante ne devrait pas être empêchée d’entamer la procédure de mariage avec A.________________ depuis l’étranger.</w:t>
      </w:r>
    </w:p>
    <w:p>
      <w:r>
        <w:rPr>
          <w:b/>
        </w:rPr>
        <w:t>E. 3</w:t>
      </w:r>
    </w:p>
    <w:p>
      <w:r>
        <w:t>Les considérants qui précèdent conduisent dès lors au rejet du recours et à la confirmation de la décision attaquée. Vu le sort du recours, un émolument judiciaire sera mis à la charge de la recourante (art. 49 et 91 de la loi vaudoise du 28 octobre 2008 sur la procédure administrative – LPA-VD; RSV 173.36)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