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PE.2011.0411 vom 4. April 2012</w:t>
      </w:r>
    </w:p>
    <w:p>
      <w:r>
        <w:t>VD Tribunal cantonal, 2012-04-04, FR</w:t>
      </w:r>
    </w:p>
    <w:p>
      <w:r>
        <w:rPr>
          <w:b/>
        </w:rPr>
        <w:t xml:space="preserve">Quelle: </w:t>
      </w:r>
      <w:r>
        <w:t>https://mcp.opencaselaw.ch/entscheid/vd_omni_PE.2011.0411</w:t>
      </w:r>
    </w:p>
    <w:p>
      <w:r>
        <w:t>FR: VD_OMNI PE.2011.0411 du 4 avril 2012</w:t>
      </w:r>
    </w:p>
    <w:p>
      <w:r>
        <w:t>IT: VD_OMNI PE.2011.0411 del 4 aprile 2012</w:t>
      </w:r>
    </w:p>
    <w:p>
      <w:pPr>
        <w:pStyle w:val="Heading2"/>
      </w:pPr>
      <w:r>
        <w:t>Regeste</w:t>
      </w:r>
    </w:p>
    <w:p>
      <w:r>
        <w:t>X.________ et Y.________ c/Service de la population (SPOP), Service de l'emploi | Demande de main d'oeuvre étrangère rejetée par le SDE, au motif que l'employeur n'a pas produit - malgré un rappel - un nouveau contrat de travail prévoyant un engagement de 364 jours au maximum. L'autorité n'avait toutefois pas besoin de ce document pour statuer. Elle peut en effet délivrer une autorisation de séjour de courte durée (permis L), même si le contrat de travail prévoit un engagement d'une durée indéterminée. Décision annulée et renvoi de la cause au SDE, pour qu'il statue sur la demande de l'employeur.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préliminaire, il convient d'examiner si le recours a encore un objet. L'autorité intimée soutient que tel n'est plus le cas. Elle se fonde sur une des pièces produites par l'employeur, à savoir le formulaire d'annonce d'entrée et de sortie de l'assurance maladie collective en faveur du personnel, dont il ressort qu'Y.________ aurait quitté la Suisse. Ce document, établi par l'employeur, date du 1 er juin 2011. Or, parmi les autres pièces produites par l'employeur figure un décompte de salaire pour le mois de septembre 2011. Il faut en conclure qu'Y.________ est revenu en Suisse (pour autant qu'il ait bien quitté notre pays) et qu'il a déjà commencé à travailler pour le compte de X.________. Le recours a dès lors toujours un objet.</w:t>
      </w:r>
    </w:p>
    <w:p>
      <w:r>
        <w:rPr>
          <w:b/>
        </w:rPr>
        <w:t>E. 3</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01.05.2011):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"Ordre de priorité" , est applicable, au moins par analogie, à l’admission en vue de l’exercice d’une activité lucrative en Suisse des ressortissants des nouveaux Etats membres de l’Union européenne (ATF 2C_217/2009 du 11 septembre 2009 consid. 2.2). Cette dernière disposition est ainsi applicable au cas particulier, dès lors qu'Y.________ est roumain.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PE.2006.0692 du 29 janvier 2007).</w:t>
      </w:r>
    </w:p>
    <w:p>
      <w:r>
        <w:rPr>
          <w:b/>
        </w:rPr>
        <w:t>E. 4</w:t>
      </w:r>
    </w:p>
    <w:p>
      <w:r>
        <w:t>En l'espèce, l'autorité intimée a demandé à l'employeur de compléter sa demande de main d'oeuvre étrangère, en produisant un nouveau contrat de travail prévoyant un engagement de 364 jours au maximum, au motif que le contingent d'autorisations annuelles (permis B) était épuisé et que seule une autorisation de courte durée de 364 jours au maximum (permis L) pourrait être mise à disposition. L'employeur n'a pas donné suite à cette demande, malgré un rappel. En outre, il n'a toujours pas produit de nouveau contrat de travail dans le cadre de la présente procédure. On ne voit toutefois pas pour quel motif l'autorité intimée avait besoin de ce document pour statuer. Elle peut en effet délivrer une autorisation de séjour de courte durée (permis L), même si le contrat de travail prévoit un engagement d'une durée indéterminée. En conséquence, la décision attaquée sera annulée et la cause renvoyée à l'autorité intimée afin qu'elle statue sur la demande de l'employeur: dans ce cadre, elle examinera si l'ordre de priorité auquel est soumis l'engagement d'un ressortissant roumain a été respecté.</w:t>
      </w:r>
    </w:p>
    <w:p>
      <w:r>
        <w:rPr>
          <w:b/>
        </w:rPr>
        <w:t>E. 5</w:t>
      </w:r>
    </w:p>
    <w:p>
      <w:r>
        <w:t>Les considérants qui précèdent conduisent à une admission partielle du recours et à l'annulation de la décision attaquée. Vu l'issue du litige, l'arrêt sera rendu sans frais. En outre, il n'y a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