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PE.2011.0403 vom 3. Januar 2012</w:t>
      </w:r>
    </w:p>
    <w:p>
      <w:r>
        <w:t>VD Tribunal cantonal, 2012-01-03, FR</w:t>
      </w:r>
    </w:p>
    <w:p>
      <w:r>
        <w:rPr>
          <w:b/>
        </w:rPr>
        <w:t xml:space="preserve">Quelle: </w:t>
      </w:r>
      <w:r>
        <w:t>https://mcp.opencaselaw.ch/entscheid/vd_omni_PE.2011.0403</w:t>
      </w:r>
    </w:p>
    <w:p>
      <w:r>
        <w:t>FR: VD_OMNI PE.2011.0403 du 3 janvier 2012</w:t>
      </w:r>
    </w:p>
    <w:p>
      <w:r>
        <w:t>IT: VD_OMNI PE.2011.0403 del 3 gennaio 2012</w:t>
      </w:r>
    </w:p>
    <w:p>
      <w:pPr>
        <w:pStyle w:val="Heading2"/>
      </w:pPr>
      <w:r>
        <w:t>Regeste</w:t>
      </w:r>
    </w:p>
    <w:p>
      <w:r>
        <w:t>X.________ c/Service de la population (SPOP) | Faute d'union conjugale effectivement vécue ou de raisons personnelles majeures, confirmation de la révocation de l'autorisation de séjour. Recours au TF irrecevable.</w:t>
      </w:r>
    </w:p>
    <w:p>
      <w:pPr>
        <w:pStyle w:val="Heading2"/>
      </w:pPr>
      <w:r>
        <w:t>Erwägungen</w:t>
      </w:r>
    </w:p>
    <w:p>
      <w:r>
        <w:rPr>
          <w:b/>
        </w:rPr>
        <w:t>E. 1</w:t>
      </w:r>
    </w:p>
    <w:p>
      <w:r>
        <w:t>En dehors des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 Aux termes de l'art. 42 al. 1 de la loi fédérale du 16 décembre 2005 sur les étrangers (LEtr; RS 142.20), le conjoint étranger d’un ressortissant suisse ainsi que ses enfants célibataires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Par séjour légal ininterrompu, il faut entendre une vie commune de 5 ans au moins (PE.2010.0178 du 16 août 2010 et les références citées ; Marc Spescha / Hanspeter Thür / Andreas Zünd / Peter Bolzli, Migrationsrecht, 2ème édition, Zürich 2009, n° 9 ad art. 42 LEtr; Martina Caroni / Thomas Gächter / Daniela Thurnherr, Bundesgesetz über die Ausländerinnen und Ausländer, Berne, 2010, n° 55 ad art. 42 LEtr ). En l’espèce, il ressort sans équivoque du dossier, et en particulier des déclarations de la recourante et de son époux, que ceux-ci ne font plus ménage commun depuis plus de trois ans, soit septembre 2008, alors que le mariage a été célébré en janvier de la même année. A cet égard, la conclusion d’un bail à loyer portant sur un appartement de une pièce, au demeurant signé par la seule recourante, ne saurait être propre à faire douter de l’absence de véritable vie commune. Nonobstant les déclarations des époux quant à la réalité de leur union, force est de constater que celle-ci ne débouche pas sur une vie commune propre à justifier, aux termes de l’article 42 LEtr, l’octroi d’une autorisation de séjour. C’est le lieu de préciser que l’auditions de témoins, envisagée sans que des précisions ne soit apportées sur le contenu éventuel de leurs déclarations, apparaît d’emblée impropre, là aussi, à établir un état de fait qui ressort clairement du dossier et des déclarations, consignées sur procès-verbal, des époux XY.______________.</w:t>
      </w:r>
    </w:p>
    <w:p>
      <w:r>
        <w:rPr>
          <w:b/>
        </w:rPr>
        <w:t>E. 2</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 Office fédéral des migrations, Directives LEtr, Regroupement familial, version du 1 er juillet 2009, ch. 6.15.1) L'art. 77 al. 4  de l'ordonnance du 24 octobre 2007 relative à l'admission, au séjour et à l'exercice d'une activité lucrative (OASA; RS 142.201) précise que l'étranger s'est bien intégré au sens de l'art. 50 al. 1 let. a LEtr notamment lorsqu'il respecte l'ordre juridique suisse et les valeurs de la Constitution fédérale (let. a) et lorsqu'il manifeste sa volonté de participer à la vie économique et d'apprendre la langue nationale parlée au lieu de domicile (let. b). La durée de la présence en Suisse, les liens personnels avec la Suisse, la situation professionnelle, le comportement personnel ainsi que les connaissances linguistiques sont par conséquent déterminants (Directives LEtr, ch. 6.15.2). b) En l’espèce, le couple s’est marié en janvier 2008 et la vie commune a cessé en septembre 2008. L’union conjugale effective a ainsi duré moins de trois ans, si bien que la première des conditions cumulatives posées par l’art. 50 al. 1 let. a LEtr n’est pas remplie. Dès lors, seule l'existence de raisons personnelles majeures au sens de l'art. 50 al. 1 let. b LEtr pourrait justifier la poursuite du séjour en Suisse du recourant. c)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La recourante n’allègue aucune raison personnelle majeure qui justifierait le maintien de son autorisation de séjour. On constate au demeurant que les époux XY.______________ envisagent, à moyen ou long terme, de s’établir au Brésil. d) Au vu de ce qui précède, ni les conditions de l'art. 50 al. 1 let. a ni celles de l’art. 50 al. 1 let. b LEtr ne sont réunies et le droit à l'octroi d'une autorisation de séjour selon ces dispositions n’existe donc plus. Partant, le SPOP n'a pas abusé de son pouvoir d'appréciation en révoquant  l'autorisation de séjour de la recourante.</w:t>
      </w:r>
    </w:p>
    <w:p>
      <w:r>
        <w:rPr>
          <w:b/>
        </w:rPr>
        <w:t>E. 3</w:t>
      </w:r>
    </w:p>
    <w:p>
      <w:r>
        <w:t>Le recours, manifestement mal fondé, peut être rejeté sans autre mesure d'instruction ou échange d'écritures sur la base de l'art. 82 LPA-VD. L'autorité intimée impartira à la recourante un nouveau délai de départ. Il n'est pas alloué de dépens à la recourante qui succombe et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