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PE.2011.0402 vom 2. Dezember 2011</w:t>
      </w:r>
    </w:p>
    <w:p>
      <w:r>
        <w:t>VD Tribunal cantonal, 2011-12-02, FR</w:t>
      </w:r>
    </w:p>
    <w:p>
      <w:r>
        <w:rPr>
          <w:b/>
        </w:rPr>
        <w:t xml:space="preserve">Quelle: </w:t>
      </w:r>
      <w:r>
        <w:t>https://mcp.opencaselaw.ch/entscheid/vd_omni_PE.2011.0402</w:t>
      </w:r>
    </w:p>
    <w:p>
      <w:r>
        <w:t>FR: VD_OMNI PE.2011.0402 du 2 décembre 2011</w:t>
      </w:r>
    </w:p>
    <w:p>
      <w:r>
        <w:t>IT: VD_OMNI PE.2011.0402 del 2 dicembre 2011</w:t>
      </w:r>
    </w:p>
    <w:p>
      <w:pPr>
        <w:pStyle w:val="Heading2"/>
      </w:pPr>
      <w:r>
        <w:t>Regeste</w:t>
      </w:r>
    </w:p>
    <w:p>
      <w:r>
        <w:t>A. X.________ c/Service de la population (SPOP) | Les conditions du réexamen du refus de renouveler l'autorisation de séjour octroyée à un ressortissant algérien de 36 ans au bénéfice d'un regroupement familial ne sont pas réalisées. Dès lors qu'il n'allègue pas avoir repris la vie commune avec son épouse, le recourant n'est pas fondé à se prévaloir du fait que le divorce n'a pas encore été prononcé. De même, il n'est pas fondé à invoquer un sursis à son refoulement, acquis de façon contraire à la bonne foi. Enfin, il séjourne en Suisse depuis six ans et demi de manière illégale. Au surplus, aucun élément du dossier ne permet de retenir que l'intégration du recourant en Suisse serait à ce point exceptionnelle que l'on ne pourrait raisonnablement exiger de sa part un retour dans son pays.</w:t>
      </w:r>
    </w:p>
    <w:p>
      <w:pPr>
        <w:pStyle w:val="Heading2"/>
      </w:pPr>
      <w:r>
        <w:t>Erwägungen</w:t>
      </w:r>
    </w:p>
    <w:p>
      <w:r>
        <w:rPr>
          <w:b/>
        </w:rPr>
        <w:t>E. 1</w:t>
      </w:r>
    </w:p>
    <w:p>
      <w:r>
        <w:t>L'autorité peut renoncer à l'échange d'écritures ou, après celui-ci, à toute autre mesure d'instruction, lorsque le recours paraît manifestement irrecevable, bien ou mal fondé (art. 82 al. 1 de la loi vaudoise du 28 octobre 2008 sur la procédure administrative - LPA-VD; RSV 173.36). Dans ces cas, elle rend à bref délai une décision d'irrecevabilité, d'admission ou de rejet sommairement motivée (ibid., al. 2).</w:t>
      </w:r>
    </w:p>
    <w:p>
      <w:r>
        <w:rPr>
          <w:b/>
        </w:rPr>
        <w:t>E. 2</w:t>
      </w:r>
    </w:p>
    <w:p>
      <w:r>
        <w:t>Le recourant fait valoir en substance que l’autorité intimée aurait estimé à tort que les conditions lui permettant de revenir sur sa décision négative du 5 février 2004 n’étaient pas remplies. Il soutient que l’état de fait à la base de cette dernière décision s’est modifié dans une mesure notable de sorte que l’autorité intimée aurait dû lui octroyer l’autorisation de séjour requise. On rappelle à cet égard qu’une partie peut demander à l'autorité de réexaminer sa décision (art. 64 al. 1 de la loi du 28 octobre 2008 sur la procédure administrative - LPA-VD; RSV 173.36). L'autorité entre en matière sur la demande (art.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a)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Si elle estime que les conditions d’un réexamen de sa décision ne sont pas remplies, l’autorité peut refuser d’entrer en matière de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 b) En l’occurrence, le recourant met en avant plusieurs motifs à l’appui de sa demande de réexamen de la décision de refus de renouveler l’autorisation de séjour octroyée au bénéfice d’un regroupement familial étaient réalisées. Or, aucun d’entre eux ne s’avère déterminant pour l’issue de la cause. Le recourant rappelle en premier lieu que le mariage persistait au dépôt de la demande de réexamen. Ce fait n’est toutefois pas déterminant; seule importe en effet pour justifier le maintien de l’autorisation de séjour la vie commune avec le conjoint ressortissant suisse ou titulaire d’un permis d’établissement (cf. art. 42 al. 1 in fine de la loi fédérale du 16 décembre 2005 sur les étrangers – LEtr; RS 142.20). Or, le recourant n’allègue de toute façon pas avoir repris la vie commune avec B. Y.________. On peut douter du reste, au vu des éléments recueillis par le Tribunal administratif dans l’arrêt PE.2004.0113, qu’il y ait véritablement eu vie commune entre eux. Le mariage pourrait avoir été contracté en 1998 dans le but d’éluder les dispositions sur le séjour et l’établissement des étrangers et notamment celles sur la limitation du nombre des étrangers au sens où l’entendait l’art. 7 al. 2 de la loi du 26 mars 1931 sur le séjour et l’établissement des étrangers (LSEE), en vigueur jusqu’au 31 décembre 2007. On rappelle à cet égard que à le droit à l’octroi d’une autorisation de séjour et à la prolongation de sa durée de validité s’éteignent lorsqu’ils sont invoqués abusivement, notamment pour éluder les dispositions de la présente loi sur l’admission et le séjour ou ses dispositions d’exécution (art. 51 al. 1 let. a LEtr). Par conséquent, le recourant n’est pas fondé à se prévaloir du fait que le divorce n’a pas encore été prononcé. Le recourant explique en deuxième lieu que la mesure de contrainte tendant à son renvoi de Suisse n’avait pas abouti. Ce fait, présenté de manière inexacte et tronquée, n’est pas davantage déterminant. Le recourant se garde d’indiquer à cet égard le motif de sa libération le 19 octobre 2010 des mesures de contraintes par les autorités valaisannes. Aux yeux de celles-ci, plus aucun indice sérieux ne laissait penser que le recourant entendait se soustraire à son refoulement. En effet, il avait expressément déclaré, lors de son audition par le Tribunal cantonal du canton du Valais le 26 juillet 2010, qu’il était d’accord de rentrer en Algérie après avoir repris ses affaires à 1******** et terminer son divorce. La présente procédure tend plutôt à démontrer que le recourant n’a au contraire nulle intention de rentrer dans son pays. Quoi qu’il en soit, le recourant n’est pas fondé à se prévaloir de cette circonstance, un sursis à son refoulement, qu’il semble avoir acquis de façon contraire à la bonne foi. En troisième lieu, le recourant rappelle qu’il séjourne sur le territoire suisse depuis douze ans. Là également, il omet d’indiquer que depuis le 5 janvier 2005, c'est-à-dire à tout le moins depuis six ans et demi, il y séjourne de manière illégale. Comme on le verra ci-dessous, la longueur du séjour n’est de toute façon pas à elle seule déterminante pour l’examen des conditions permettant l’octoi d’une autorisation de séjour, dans la mesure notamment où ce séjour est, en totalité ou pour partie, illégal (cf. ATF 134 II 10 consid. 4.3 p. 23; 130 II 39 consid. 3 p. 42). c) Les conditions du réexamen de la décision négative n’étant pas réalisées, c’est en vain que le recourant reproche à l’autorité intimée de ne pas avoir accueilli sa demande.</w:t>
      </w:r>
    </w:p>
    <w:p>
      <w:r>
        <w:rPr>
          <w:b/>
        </w:rPr>
        <w:t>E. 3</w:t>
      </w:r>
    </w:p>
    <w:p>
      <w:r>
        <w:t>a) Le recourant a requis de l’autorité intimée l’octroi d’un permis de séjour en faisant valoir que les conditions de l’art. 50 LEtr étaient réalisées; on rappelle la teneur de cette disposition: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En l’occurrence, le recourant vit séparé de son épouse depuis plus de huit ans; c’est de façon à tout le moins abusive qu’il se prévaut aujourd’hui de l’art. 50 LEtr. Sans doute, au regard de l’al. 1 let. a, la vie commune des époux paraît avoir duré plus de trois ans. Cette constatation suscite toutefois les plus sérieuses réserves, dans la mesure où le recourant avait lui-même admis, durant la procédure ayant abouti à l’arrêt PE.2004.0113, qu'il n'avait pas toujours vécu auprès de son épouse tout au long de ces années, précisant au contraire qu'il avait résidé à différentes adresses, ce avant même la séparation annoncée au mois de juillet 2003. Quoi qu’il en soit, que le mariage contracté fût de complaisance ou non, l’art. 50 LEtr ne trouve de toute façon pas application dans le cas d’espèce, dès lors que le ménage qu’il formait avec B. Y.________ a été dissous en octobre 2003, soit à une époque où la LSEE était en vigueur. Sous l’empire de ce texte de loi, un éventuel cas de rigueur devait être examiné à la lumière des directives LSEE édictées par l’ODM selon lesquelles les circonstances suivantes seront déterminantes: «la durée du séjour, les liens personnels avec la Suisse, la situation professionnelle, la situation économique et du marché de l'emploi, le comportement et le degré d'intégration .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(ch. 654 des directives LSEE). Ces conditions ne sont à l’évidence pas réunies en l’espèce. Du reste, le recourant justifie plutôt son droit à l’octroi d’une autorisation de séjour en mettant en avant son intégration en Suisse, condition qu’il y aura lieu d’examiner plus loin dans le cadre de l’art. 30 al. 1 let. b LEtr. Au surplus,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2C_565/2009 du 18 février 2010 consid. 3.2; 2C_460/2009 du 4 novembre 2009 consid. 5.3). Or, le recourant n’a pas été victime de violences conjugales, même psychologiques; à tout le moins, ceci n’a jamais été allégué. En outre, il perd de vue qu'une intégration socio-professionnelle normale en Suisse et un séjour en Suisse de cinq ans ne suffisent de toute façon pas à fonder un cas de rigueur au sens de l'art. 50 al. 1 let. b LEtr (art. 50 al. 2 LEtr; ATF 137 II 1 consid. 4.1 p. 7 s.). b) L’art. 30 al. 1 let. b LEtr prévoit qu’il est possible de déroger aux conditions d’admission (art. 18 à 29 LEtr) dans le but de tenir compte d’un cas individuel d’une extrême gravité. L'art. 31 de l'ordonnance fédérale du 24 octobre 2007 relative à l'admission, au séjour et à l'exercice d'une activité lucrative (OASA; RS 142.201) énumère les critères que les autorités doivent prendre en considération pour octroyer une autorisation de séjour dans les cas individuels d'extrême gravité au sens des art. 30 al. 1 let. b LEtr. Sa teneur est la suivante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Pour interpréter la notion de "cas d'extrême gravité" , l'on peut se référer à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Le principe d'intégration doit permettre aux étrangers dont le séjour est légal et durable de participer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 77 al. 4 OASA qu'à l'art.</w:t>
      </w:r>
    </w:p>
    <w:p>
      <w:r>
        <w:rPr>
          <w:b/>
        </w:rPr>
        <w:t>E. 4</w:t>
      </w:r>
    </w:p>
    <w:p>
      <w:r>
        <w:t>Il s’ensuit que le recours ne peut qu’être rejeté et la décision attaquée, confirmée. Le sort du recours commande de mettre un émolument judiciaire à la charge du recourant (art. 49 et 91 LPA-VD; RSV 173.36).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