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PE.2011.0372 vom 24. Januar 2012</w:t>
      </w:r>
    </w:p>
    <w:p>
      <w:r>
        <w:t>VD Tribunal cantonal, 2012-01-24, FR</w:t>
      </w:r>
    </w:p>
    <w:p>
      <w:r>
        <w:rPr>
          <w:b/>
        </w:rPr>
        <w:t xml:space="preserve">Quelle: </w:t>
      </w:r>
      <w:r>
        <w:t>https://mcp.opencaselaw.ch/entscheid/vd_omni_PE.2011.0372</w:t>
      </w:r>
    </w:p>
    <w:p>
      <w:r>
        <w:t>FR: VD_OMNI PE.2011.0372 du 24 janvier 2012</w:t>
      </w:r>
    </w:p>
    <w:p>
      <w:r>
        <w:t>IT: VD_OMNI PE.2011.0372 del 24 gennaio 2012</w:t>
      </w:r>
    </w:p>
    <w:p>
      <w:pPr>
        <w:pStyle w:val="Heading2"/>
      </w:pPr>
      <w:r>
        <w:t>Regeste</w:t>
      </w:r>
    </w:p>
    <w:p>
      <w:r>
        <w:t>X._____________, Y._____________, Z._____________ c/Service de la population (SPOP) | Motivation très succincte de la décision attaquée, mais suffisante pour permettre aux recourants de comprendre pour quelles raisons leur demande de réexamen avait été rejetée. Pas de violation du droit d'être entendu. Le fait que la fille des recourants se soit inscrite à l'OPTI après son certificat d'études n'est pas un fait nouveau susceptible de remettre en question le refus initial de délivrer une autorisation de séjour aux membres de la famille, mais est simplement dû à l'écoulement du temps lié au fait que les recourants n'ont pas respecté le délai de départ fixé au 31 août 2011.</w:t>
      </w:r>
    </w:p>
    <w:p>
      <w:pPr>
        <w:pStyle w:val="Heading2"/>
      </w:pPr>
      <w:r>
        <w:t>Erwägungen</w:t>
      </w:r>
    </w:p>
    <w:p>
      <w:r>
        <w:rPr>
          <w:b/>
        </w:rPr>
        <w:t>E. 1</w:t>
      </w:r>
    </w:p>
    <w:p>
      <w:r>
        <w:t>Les recourants invoquent en premier lieu une violation de leur droit d’être entendu au motif que la décision attaquée serait insuffisamment motivée. a) Tel qu’il est garanti par l’art. 29 al. 2 de la Constitution fédérale du 18 avril 1999 de la Confédération suisse (Cst; RS 101) ainsi que par l'art. 27 al. 2 de la Constitution du 14 avril 2003 du canton de Vaud (Cst.-VD; RSV 101.01), le droit d’être entendu comprend notamment le droit pour l’intéressé de s’expliquer avant qu’une décision ne soit prise à son détriment (GE.2010.0117 du 10 janvier 2011). Il confère également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b) En l’espèce, il est vrai que la motivation de la décision attaquée est très succincte. Celle-ci mentionne toutefois la teneur de l’art. 64 al. 1 let.a de la loi du 20 octobre 2008 sur la procédure administrative (LPA-VD ; 173.36) relatif aux conditions dans lesquelles une autorité administrative doit entrer en matière sur une demande de réexamen et relève que le fait nouveau invoqué, soit la signature par Z._______________ d’un contrat d’apprentissage, n’est pas pertinent. Les recourants pouvaient par conséquent comprendre les raisons pour lesquelles le SPOP avait refusé d’entrer en matière sur leur demande et attaquer cette décision à bon escient devant le Tribunal cantonal, ce qu’ils ont fait. Le grief relatif à la violation du droit d’être entendu n’est par conséquent pas fondé.</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(PE.2010.0323 du 29 juillet 2011 et les références citées). b) En l’occurrence, le fait nouveau invoqué, soit l’inscription de Z._______________ à l’OPTI après l’obtention de son certificat d’étude ne saurait remettre en question le refus de délivrer aux recourants une autorisation de séjour pour cas personnel d’extrême gravité.  Le fait que Z._______________ ait continué de fréquenter l'école ne constitue en effet pas un élément nouveau susceptible d'influencer la décision prise, mais est simplement dû à l'écoulement du temps, lié au fait que les recourants n'ont pas respecté le délai de départ fixé au 31 août 2011 (voir notamment PE.2011.303 du 21 octobre 2011 et 2010.0599 du 10 mars 2011). Le fait qu’un raccordement vers le gymnase semble possible moyennant le succès d’un examen n’est également pas pertinent, étant rappelé que Z._______________ a fini sa scolarité obligatoire en 2011 dans la voie VSO, qui mène normalement plutôt à l’apprentissage. Dans ces circonstances, il n’y a également pas lieu de donner suite à la conclusion subsidiaire tendant à ce que la décision de renvoi soit suspendue le temps que Z._______________ puisse terminer sa formation.</w:t>
      </w:r>
    </w:p>
    <w:p>
      <w:r>
        <w:rPr>
          <w:b/>
        </w:rPr>
        <w:t>E. 3</w:t>
      </w:r>
    </w:p>
    <w:p>
      <w:r>
        <w:t>Il résulte des considérants que le recours doit être rejeté et la décision attaquée confirmée. Conformément à l'art. 49 LPA-VD et à l'art. 4 du tarif du 11 décembre 2007 des frais judiciaires en matière de droit administratif et public (TFJAP; RSV 173.36.5.1), un émolument de justice sera mis à la charge des recourants, qui succombent. Vu le sort du recours, les recourants n’ont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