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PE.2011.0358 vom 30. Dezember 2011</w:t>
      </w:r>
    </w:p>
    <w:p>
      <w:r>
        <w:t>VD Tribunal cantonal, 2011-12-30, FR</w:t>
      </w:r>
    </w:p>
    <w:p>
      <w:r>
        <w:rPr>
          <w:b/>
        </w:rPr>
        <w:t xml:space="preserve">Quelle: </w:t>
      </w:r>
      <w:r>
        <w:t>https://mcp.opencaselaw.ch/entscheid/vd_omni_PE.2011.0358</w:t>
      </w:r>
    </w:p>
    <w:p>
      <w:r>
        <w:t>FR: VD_OMNI PE.2011.0358 du 30 décembre 2011</w:t>
      </w:r>
    </w:p>
    <w:p>
      <w:r>
        <w:t>IT: VD_OMNI PE.2011.0358 del 30 dicembre 2011</w:t>
      </w:r>
    </w:p>
    <w:p>
      <w:pPr>
        <w:pStyle w:val="Heading2"/>
      </w:pPr>
      <w:r>
        <w:t>Regeste</w:t>
      </w:r>
    </w:p>
    <w:p>
      <w:r>
        <w:t>A. X.________ c/Service de la population (SPOP) | L'art. 77 al. 1 OASA se distingue de l'art. 50 al. 1 LEtr en ce qu'il ne consacre pas un droit à l'octroi ou au renouvellement de l'autorisation, mais offre à l'autorité cantonale un certain pouvoir d'appréciation. Les motifs de l'art. 77 OASA doivent en revanche être interprétés de manière identique à ceux de l'art. 50 al. 1 LEtr.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sollicite l'audition de son épouse à titre de mesure d'instruction. a) Le droit d'être entendu tel qu'il est garanti par l'art. 29 al. 2 de la Constitution fédérale de la Confédération suisse du 18 avril 1999 (Cst.; RS 101) comprend notamment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consid. 2a/aa p. 16; 124 I 49 consid.3a p. 51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b) En l'espèce, le tribunal s'estime suffisamment renseigné sur la base du dossier pour juger en toute connaissance de cause et ne voit en outre pas quels nouveaux éléments utiles à l'affaire pourrait apporter l'audition de l'épouse du recourant, qui a déjà été entendue par la police municipale. Il n'y a dès lors pas lieu de donner suite au complément d'instruction requis.</w:t>
      </w:r>
    </w:p>
    <w:p>
      <w:r>
        <w:rPr>
          <w:b/>
        </w:rPr>
        <w:t>E. 3</w:t>
      </w:r>
    </w:p>
    <w:p>
      <w:r>
        <w:t>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LEtr prévoit des dispositions plus favorables (art. 2 al. 2 LEtr). b)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Même lorsque les dispositions applicables ne le subordonnent pas au ménage commun des époux, le droit du conjoint étranger de séjourner en Suisse pendant toute la durée formelle du mariage n'est pas absolu. D'une part, l'art. 3 annexe I ALCP ne protège pas les mariages fictifs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l'art. 7 al. 1 de l'ancienne loi fédérale sur le séjour et l'établissement des étrangers (LSEE), afin de garantir le respect du principe de non-discrimination inscrit à l'art. 2 ALCP et d'assurer une certaine cohésion d'ensemble au système (ATF 130 II 113 consid. 7-10 p. 124-137; 2A.379/2003 du 6 avril 2004 consid. 3.2.2). Selon la jurisprudence relative à l'art. 7 al. 1 LSEE, le mariage n'existe plus que formellement lorsque l'union conjugale est rompue définitivement, c'est-à-dire lorsqu'il n'y a plus d'espoir de réconciliation; les causes et les motifs de la rupture ne jouent pas de rôle (ATF 130 II 113 consid. 4.2 p.117; 128 II 145 consid. 2 p.151 s.). Des indices clairs doivent démontrer que la poursuite de la vie conjugale n'est plus envisagée et qu'il n'existe plus de perspectives à cet égard (ATF 130 II 113 consid. 10.2 p. 135; 128 II 145 consid. 2.2 p. 151 s.). c) En l'espèce, les époux X.________ ne font plus ménage commun depuis le mois de mars 2010, soit depuis un peu plus de vingt mois. Lors de son audition par la police le 18 octobre 2010, l'épouse du recourant a déclaré qu'elle souhaitait divorcer, mais que son mari était opposé au divorce. Elle a précisé que c'était elle qui avait requis la séparation, car son mari ne l'aimait pas, ne faisait pas attention à elle, sortait tout seul et lui mentait souvent. Elle a ajouté encore que son mari s'était marié avec elle uniquement pour les "papiers" . En outre, l'épouse du recourant a produit une lettre de son avocat du 21 janvier 2011, proposant au conseil de son mari de procéder rapidement par la voie d'une requête commune en divorce afin de "ne pas empiler les procédures de désaveu" . Compte tenu des déclarations de l'épouse et de la durée de la séparation, une reprise de la vie commune n'apparaît pas envisageable, quoiqu'en dise le recourant. C'est ainsi à juste titre que l'autorité intimée a considéré que le mariage était vidé de sa substance. Le recourant ne peut dès lors plus se prévaloir de l'art. 3 annexe I ALCP pour demeurer en Suisse. Un éventuel droit à la prolongation de son autorisation de séjour doit par conséquent être examiné au regard de la LEtr et de ses ordonnances d'exécution.</w:t>
      </w:r>
    </w:p>
    <w:p>
      <w:r>
        <w:rPr>
          <w:b/>
        </w:rPr>
        <w:t>E. 4</w:t>
      </w:r>
    </w:p>
    <w:p>
      <w:r>
        <w:t>a) L'autorité intimée a examiné l'éventuel droit du recourant à la prolongation de son autorisation de séjour sous l'angle de l'art. 50 al. 1 LEtr. Cette disposition, qui réglemente les conditions de séjour du conjoint étranger d'un ressortissant suisse ou du titulaire d'une autorisation d'établissement après la dissolution de la famille, n'est toutefois pas applicable dans le cas d'espèce. En effet, l'épouse du recourant n'est titulaire que d'une autorisation de séjour. En pareil cas, la poursuite du séjour en Suisse du conjoint étranger après la dissolution de la famille doit être examinée sous l'angle de l'art. 77 al. 1 de l'ordonnance fédérale du 24 octobre 2007 relative à l'admission, au séjour et à l'exercice d'une activité lucrative (OASA; RS 142.201). Aux termes de cette disposition, l'autorisation de séjour octroyée au conjoint et aux enfants au titre de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 L'art. 77 al. 1 OASA se distingue de l'art. 50 al. 1 LEtr en ce qu'il ne consacre pas un droit à l'octroi ou au renouvellement de l'autorisation, mais offre à l'autorité cantonale un certain pouvoir d'appréciation (Martina Caroni, Art. 50, in: Bundesgesetz über die Ausländerinnen und Ausländer, Berne 2010, n. 7, p. 473). Les motifs de l'art. 77 OASA doivent en revanche être interprétés de manière identique à ceux de l'art. 50 al. 1 LEtr (arrêts PE.2010.0038 du 24 novembre 2011 consid. 3 et PE.2010.0306 du 24 août 2011 consid. 3; ég. Directives de l'Office fédéral des migrations [ODM], I. Domaine des étrangers, version du 30.09.2011, ch. 6.14.1). b) Il convient d'examiner tout d'abord si les conditions de l'art. l'art. 77 al. 1 let. a OASA sont réalisées. aa) La communauté conjugale au sens de cette disposition suppose l'existence d'une communauté conjugale effectivement vécue (voir entre autres, arrêt PE.2010.0237 du 21 avril 2011, ainsi que les références citées). La durée d'au moins trois ans requise se calcule depuis la date du mariage, à condition que la cohabitation ait lieu en Suisse, jusqu'à ce que les époux cessent d'habiter sous le même toit (ATF 136 II 133 consid. 3.2 i.f. et 3.3). La limite des trois ans est absolue et s'applique même s'il ne reste que quelques jours pour atteindre la durée des trente-six mois exigés (voir arrêts 2C_195/2010 du 23 juin 2010, consid. 5.1, 2C_711/2009 du 30 avril 2010, consid. 2.3.1 et 2C_635//2009 du 26 mars 2010, consid. 5.2). La prétendue cohabitation des époux avant le mariage ne peut être prise en compte dans la durée de l'union conjugale (arrêt précité 2C_195/2010, consid. 5.1 i.f.). bb) En l'espèce, les époux X.________, qui se sont mariés le 15 décembre 2008, se sont séparés au mois de mars 2010. La communauté conjugale effectivement vécue n'a ainsi pas duré trois ans. La première des conditions cumulatives posées par l'art. 77 al. 1 let a OASA n'étant pas remplie, il n'est pas nécessaire d'examiner, à ce stade, si l'intégration est réussie. c) Il reste encore à déterminer si des raisons personnelles majeures au sens de l'art. 77 al. 1 let. b OASA pourraient justifier la poursuite du séjour en Suisse du recourant. aa) L'art. 77 al. 2 OASA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S'agissant de la réintégration sociale dans le pays d'origine, l'art. 77 al. 2 OASA exige qu'elle semble fortement compromise ( "stark gefährdet"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2C_369/2010 du 4 novembre 2010, consid. 4.1, 2C_376/2010 du 18 août 2010 consid. 6.3.1 et 2C_663/2009 du 23 février 2010 consid. 3 in fine, avec renvoi à Thomas Geiser/Marc Busslinger, Ausländische Personen als Ehepartner und registrierte Partnerinnen, in Ausländerrecht, 2e éd., 2009, no 14.54). bb) En l'espèce, le recourant ne séjourne en Suisse que depuis trois ans. Par ailleurs, son intégration socio-professionnelle n'est pas particulièrement bonne. En effet, le recourant a de mauvaises connaissances du français, comme l'ont relevé les agents de police qui ont procédé à son audition (voir rapport du 9 décembre 2010: "Ce dernier était accompagné de sa soeur,..., laquelle a fonctionné comme interprète en langue portugaise. Précisons que M. A. X.________ n'a qu'une très faible compréhension de notre langue." ). De plus, s'il a toujours travaillé depuis son arrivée en Suisse, il n'occupe pas un emploi qui requiert des compétences particulières. A cela s'ajoute que le recourant est encore jeune, en bonne santé, et ne serait pas le père biologique des deux enfants auxquels a donné naissance son épouse: le désaveu a été admis s'agissant de l'enfant C. X.________; une procédure concernant l'enfant Y.________ serait en cours. Au regard de ces éléments, il n'apparaît pas que la réintégration sociale du recourant au Brésil, pays dans lequel il a vécu jusqu'à l'âge de 30 ans et dans lequel il a de la famille, notamment sa fille issue d'une précédente relation (voir procès-verbal d'audition, question D.10), soit fortement compromise. Dans ces conditions, il n'existe pas de raisons personnelles majeures qui permettraient au recourant d'obtenir le renouvellement de son autorisation de séjour sur la base de l'art. 77 al. 1 let. b OASA.</w:t>
      </w:r>
    </w:p>
    <w:p>
      <w:r>
        <w:rPr>
          <w:b/>
        </w:rPr>
        <w:t>E. 5</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