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PE.2011.0355 vom 26. April 2012</w:t>
      </w:r>
    </w:p>
    <w:p>
      <w:r>
        <w:t>VD Tribunal cantonal, 2012-04-26, FR</w:t>
      </w:r>
    </w:p>
    <w:p>
      <w:r>
        <w:rPr>
          <w:b/>
        </w:rPr>
        <w:t xml:space="preserve">Quelle: </w:t>
      </w:r>
      <w:r>
        <w:t>https://mcp.opencaselaw.ch/entscheid/vd_omni_PE.2011.0355</w:t>
      </w:r>
    </w:p>
    <w:p>
      <w:r>
        <w:t>FR: VD_OMNI PE.2011.0355 du 26 avril 2012</w:t>
      </w:r>
    </w:p>
    <w:p>
      <w:r>
        <w:t>IT: VD_OMNI PE.2011.0355 del 26 aprile 2012</w:t>
      </w:r>
    </w:p>
    <w:p>
      <w:pPr>
        <w:pStyle w:val="Heading2"/>
      </w:pPr>
      <w:r>
        <w:t>Regeste</w:t>
      </w:r>
    </w:p>
    <w:p>
      <w:r>
        <w:t>A. X.________/Service de la population (SPOP) | Ressortissant sri lankais arrivé en Suisse en 1988 à l'âge de 20 ans, marié à une compatriote au bénéfice d'une autorisation de séjour et père de trois enfants, nés en Suisse et dont l'aînée a obtenu la nationalité suisse. Bien que le recourant ait été condamné en 1998 à une peine de réclusion de 15 ans pour complicité d'agression et meurtre, on doit admettre que son intérêt privé, ainsi que celui de son épouse et surtout celui de leurs enfants, à ce qu'il puisse demeurer en Suisse l'emporte sur l'intérêt public à l'éloigner, compte tenu du fait que les juges d'application des peines ont jugé le risque de récidive comme très limité et qu'au vu des moyens financiers de la famille, il lui serait difficile de continuer de se voir si le recourant était renvoyé.</w:t>
      </w:r>
    </w:p>
    <w:p>
      <w:pPr>
        <w:pStyle w:val="Heading2"/>
      </w:pPr>
      <w:r>
        <w:t>Erwägungen</w:t>
      </w:r>
    </w:p>
    <w:p>
      <w:r>
        <w:rPr>
          <w:b/>
        </w:rPr>
        <w:t>E. 1</w:t>
      </w:r>
    </w:p>
    <w:p>
      <w:r>
        <w:t>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 ATF 131 II 265 consid. 5 p. 269; arrêt 2C_723/2009 du 31 mars 2010 consid. 4.1) avec une personne de sa famille ayant le droit de résider durablement en Suisse (sur cette notion, cf. ATF 135 I 143 consid. 1.3.1 p. 145 s.; 130 II 281 consid. 3.1 p. 286). Tel est le cas en l'espèce puisque le recourant vit et entretient une relation étroite avec sa famille et par conséquent avec sa fille aînée, âgée de dix-sept ans, qui a acquis la nationalité suisse.</w:t>
      </w:r>
    </w:p>
    <w:p>
      <w:r>
        <w:rPr>
          <w:b/>
        </w:rPr>
        <w:t>E. 2</w:t>
      </w:r>
    </w:p>
    <w:p>
      <w:r>
        <w:t>Le droit au respect de la vie privée et familiale garanti par l'art. 8 par. 1 CEDH n'est toutefois pas absolu. Une ingérence dans l'exercice de ce droit est possible selon l'art. 8 par. 2 CEDH. Le refus d'octroyer ou de renouveler une autorisation de séjour suppose une pesée des intérêts en présence et l'examen de la proportionnalité de la mesure ( ATF 135 II 377 consid. 4.3 p. 381), étant précisé que le maintien de l'ordre public, la prévention des infractions pénales et la mise en oeuvre d'une politique restrictive en matière de séjour des étrangers constituent des buts légitimes au regard de cette disposition conventionnelle ( ATF 135 I 153 consid. 2.2.1 p. 156).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pour une première demande d'autorisation ou un renouvellement d'autorisation après un séjour de courte durée, en cas de peine d'au moins deux ans de détention, l'intérêt public à l'éloignement l'emporte sur l'intérêt privé - et celui de sa famille - à pouvoir rester en Suisse ( ATF 135 II 377 consid. 4.4 p. 382; 130 II 176 consid. 4.1 p. 185). Lorsque la limite de deux ans est atteinte, il faut des circonstances exceptionnelles pour que l'expulsion ne soit pas prononcée. En outre, le Tribunal fédéral se montre spécialement rigoureux dans les cas de délits sexuels et d'actes de violence ( ATF 122 II 433 consid. 2c p. 436; cf. aussi arrêt 2C_722/2010 du 3 mai 2011 consid. 3.2 cité dans arrêt du Tribunal fédéral 2C_48/2011 du 6 juin 2011 ). Pour sa part, la  Cour européenne des droits de l’homme se fonde notamment sur les critères suivants (cf. arrêt Boussara c. France du 23 septembre 2010, no 25672/07 § 43): - nature et gravité des infractions commises; - durée du séjour de l’intéressé en Suisse; - laps de temps qui s’est écoulé depuis l’infraction et conduite de l'étranger depuis cette période; - solidité des liens familiaux avec le pays hôte et avec le pays de destination; - caractère définitif de la mesure d’éloignement. On précisera encore qu'il n'y a pas atteinte à la vie familiale si l'on peut attendre des membres de la famille qu'ils réalisent leur vie de famille à l'étranger ( ATF 135 I 153 consid.</w:t>
      </w:r>
    </w:p>
    <w:p>
      <w:r>
        <w:rPr>
          <w:b/>
        </w:rPr>
        <w:t>E. 2.1</w:t>
      </w:r>
    </w:p>
    <w:p>
      <w:r>
        <w:t>p. 154; 134 II 10 consid. 4.1 p. 23 cité dans arrêt du Tribunal fédéral 2C_897/2010 du 23 mars 2011).</w:t>
      </w:r>
    </w:p>
    <w:p>
      <w:r>
        <w:rPr>
          <w:b/>
        </w:rPr>
        <w:t>E. 3</w:t>
      </w:r>
    </w:p>
    <w:p>
      <w:r>
        <w:t>En l'espèce, le recourant a été condamné en 1998 à une peine de quinze ans de réclusion pour des actes extrêmement graves. Il a, avec deux complices, battu à mort un autre homme sous prétexte que ce dernier entretenait une relation avec sa sœur. La Cour de cassation pénale du Tribunal cantonal a rappelé que " les actes commis par les accusés relevaient de l'abomination, qu'ils avaient agi avec une cruauté extraordinaire, qu'en frappant comme ils l'avaient fait, les accusés ne pouvaient ignorer les conséquences de leurs actes et les souffrances qu'ils feraient endurer à leur victime et qu'il apparaissait ainsi qu'ils avaient agi avec la double intention de détruire et de faire souffrir " (cf. arrêt de la cour de cassation pénale du 1 er octobre 1998, p.11). La Cour de cassation pénale du Tribunal fédéral a également relevé qu'il ressortait de l'arrêt attaqué que " le recourant a agi avec une cruauté et un acharnement hors du commun " (cf. arrêt de la cour de cassation pénale du Tribunal fédéral du 23 juin 1999, p.14). Lorsque le recourant a commis ce meurtre, il vivait en Suisse depuis plus de cinq ans et semblait être bien intégré. Rien ne présageait qu'il pourrait se montrer aussi violent envers un autre être humain. Il avait un travail qu'il effectuait à la grande satisfaction de son employeur, était marié et père d'un enfant. Or, ces éléments ne l'ont à aucun moment dissuadé d'agir. Les juges d'application des peines ont toutefois relevé que: "A. X.________ a en effet démontré, lors de sa comparution devant le juge instructeur, avoir analysé de façon critique et approfondie les causes de son passage à l'acte, que celui-ci comportait une forte influence des rites tamouls, desquels il s'est depuis lors fondamentalement démarqué, que le contexte particulier dans lequel il a agi, d'une part, son évolution personnelle, d'autre part, permettant de considérer avec une extrême retenue un risque de répétition, qu'en d'autres termes, sa libération ne fera pas courir un risque particulier à autrui". Or, on doit constater que, depuis sa libération en mars 2007, soit il y a cinq ans, le recourant n'a donné lieu à aucune plainte. A l'intérêt public d'éloigner le recourant de Suisse s'oppose l'intérêt privé de ce dernier à pouvoir demeurer dans ce pays, où il est arrivé à l'âge de vingt ans. Au moment où le SPOP a rendu la décision querellée, il y résidait depuis plus de vingt-deux ans. Cette durée est conséquente, puisque le recourant a vécu maintenant plus longtemps en Suisse que dans son pays d'origine. Il est vrai que pendant toutes ces années, le recourant était uniquement au bénéfice d'une admission provisoire et qu'il a été détenu pendant plus de treize ans. On doit cependant tenir compte du fait que le recourant vit avec son épouse et leurs trois enfants, âgés actuellement de dix-sept ans, douze ans et sept ans. Si le recourant, parlant la langue de son pays d'origine et y ayant vécu jusqu'à sa majorité, pourrait probablement s'y réintégrer assez facilement, il serait extrêmement difficile pour ses enfants, nés en Suisse, de quitter notre pays où ils ont toujours vécu, pour aller s'établir là-bas. Par ailleurs, le recourant venant du Sri Lanka et sa famille disposant de moyens financiers limités, il leur serait extrêmement difficile, voire impossible, de continuer de se voir si leur père était renvoyé. Les intérêts privés du recourant, de son épouse et surtout de leurs trois enfants à ce qu'ils puissent continuer de vivre ensemble en Suisse l'emporte donc sur l'intérêt public à éloigner le recourant, qui a, selon les juges d'application des peines, pris conscience de la gravité de ses actes et ne présente plus aujourd'hui qu'un risque de récidive très limité. L'attention du recourant est cependant expressément attirée sur le fait que son autorisation de séjour pourra être révoquée au cas où il commettrait de nouvelles infractions ou devrait émarger à l'assistance publique. Le refus du SPOP doit par conséquent être annulé et le dossier lui être renvoyé afin qu'il délivre, sous réserve d'approbation par l'ODM, une autorisation de séjour au recourant en application de l'art. 8 par. 1 CEDH.</w:t>
      </w:r>
    </w:p>
    <w:p>
      <w:r>
        <w:rPr>
          <w:b/>
        </w:rPr>
        <w:t>E. 4</w:t>
      </w:r>
    </w:p>
    <w:p>
      <w:r>
        <w:t>Compte tenu de l'issue de la procédure, les frais de recours seront laissés à la charge de l'Etat (art. 49 al. 1 de la loi du 28 octobre 2008 sur la procédure administrative, LPA-VD; RS 173.36LPA-VD). Le recourant, qui obtient gain de cause en ayant procédé par l’intermédiaire d’un mandataire professionnel,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