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PE.2011.0336 vom 2. Februar 2012</w:t>
      </w:r>
    </w:p>
    <w:p>
      <w:r>
        <w:t>VD Tribunal cantonal, 2012-02-02, FR</w:t>
      </w:r>
    </w:p>
    <w:p>
      <w:r>
        <w:rPr>
          <w:b/>
        </w:rPr>
        <w:t xml:space="preserve">Quelle: </w:t>
      </w:r>
      <w:r>
        <w:t>https://mcp.opencaselaw.ch/entscheid/vd_omni_PE.2011.0336</w:t>
      </w:r>
    </w:p>
    <w:p>
      <w:r>
        <w:t>FR: VD_OMNI PE.2011.0336 du 2 février 2012</w:t>
      </w:r>
    </w:p>
    <w:p>
      <w:r>
        <w:t>IT: VD_OMNI PE.2011.0336 del 2 febbraio 2012</w:t>
      </w:r>
    </w:p>
    <w:p>
      <w:pPr>
        <w:pStyle w:val="Heading2"/>
      </w:pPr>
      <w:r>
        <w:t>Regeste</w:t>
      </w:r>
    </w:p>
    <w:p>
      <w:r>
        <w:t>X.____________ c/Service de la population (SPOP) | Arrêt de la CDAP constatant notamment que la séparation des époux était intervenue avant la fin du délai de 3 ans sans que puissent être invoqués des motifs particuliers au sens de l'art. 49 LEtr. Demande de réexamen fondée sur une déclaration écrite de l'épouse selon laquelle la vie commune aurait duré plus longtemps et sur l'importance prise par le recourant dans le cadre de son activité professionnelle. Confimation de la décision de rejet de cette requête. Pour ce qui est de la durée de la vie de couple, la déclaration de l'épouse aurait pu être produite dans la première procédure dans laquelle cette question avait été discutée. L'importance prise par le recourant dans le cadre de son emploi, pour autant qu'elle puisse être considérée comme un fait nouveau, n'est pas déterminante dès lors qu'elle ne saurait à elle seule fonder un cas individuel d'extrême gravité au sens de l'art. 30 al. 1 let. b LEtr. Recours rejeté par arrêt du TF du 22 mars 2012 (2C_212/2012); recours manifestement irrecevable.</w:t>
      </w:r>
    </w:p>
    <w:p>
      <w:pPr>
        <w:pStyle w:val="Heading2"/>
      </w:pPr>
      <w:r>
        <w:t>Erwägungen</w:t>
      </w:r>
    </w:p>
    <w:p>
      <w:r>
        <w:rPr>
          <w:b/>
        </w:rPr>
        <w:t>E. 1</w:t>
      </w:r>
    </w:p>
    <w:p>
      <w:r>
        <w:t>Le recourant requiert l’appointement d’une audience publique et sollicite l’assignation et l’audition de témoins. a) 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p.578;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s.). Le droit d’être entendu découlant de l’art. 29 al.</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L’art. 64 al. 2 let. a et b LPA-VD codifie ces principes (cf. arrêt PE.2011.0105 du 28 juillet 2011 et référence).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L'hypothèse visée sous la lettre a de l’art. 64 al. 2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(PE.2011.0303 du 21 octobre 2011 et les références citées). b ) En l’occurrence , le recourant invoque principalement le fait que la vie de couple avec son épouse aurait continué jusqu’en 2010 y compris. La question de savoir si la vie de couple avait continué jusqu’en 2010 et s’il existait des raisons majeures justifiant l’existence de domiciles séparés au sens de l’art. 49 LEtr avait déjà été discutée dans le cadre de la décision initiale et de la procédure de recours ayant abouti à l’arrêt PE.2010.0464 du 21 février 2011. Il ne s’agit par conséquent pas d’un fait nouveau au sens de l’art. 64 al. 2 let. a LPA-VD. Au surplus, on ne se trouve pas en présence d’un fait ou d’un moyen de preuve important que le requérant ne pouvait pas connaître lors de la première décision ou dont il n’avait pas de raison de se prévaloir à cette époque au sens de l’art. 64 al. 2 let. b LPA-VD. Dans le cadre de la décision initiale et de la procédure ayant abouti à l’arrêt précité, rien n’empêchait  en effet le recourant de produire la déclaration de son épouse sur laquelle il se fonde pour obtenir le réexamen de la décision rendue à l’époque. Au demeurant, cette déclaration relative à la séparation du couple n’aurait probablement pas été prise en compte dès lors qu’elle s’écarte des déclarations antérieures faites à la police. Or, le tribunal a déjà relevé à plusieurs reprises que l'expérience montrait que les premières déclarations des parties étaient plus proches de la vérité que celles faites ultérieurement, dans le cadre d'une procédure contentieuse dont l'issue pourrait mettre en péril des intérêts cas échéants importants, ce dont les intéressés avaient entre-temps pris conscience (cf. arrêt GE. 2010.0188 du 22 février 2011 consid 5c et les références). c) Au titre de fait nouveau, le recourant invoque encore l’importance qu’il aurait prise au sein de l’Auberge du 2.************* et les liens tissés avec son employeur. Dès lors que le recourant travaille à l’Auberge du 2.************* depuis le mois de décembre 2006, il apparaît douteux que les éléments invoqués constituent des faits nouveaux au sens de l’art. 64 al. 2 let. a LPA-VD. En l’occurrence, cette question souffre de demeurer indécise dès lors que, en toute hypothèse, seule une autorisation pour cas individuel d’extrême gravité au sens des art. 30 al. 1 let b LEtr et 31 OASA pourrait entrer en considération. Or, de jurisprudence constante,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(arrêt PE.2010.0544 du 1 er septembre 2011 et les références). Les faits nouveaux invoqués ne constituent dès lors manifestement pas des faits suffisamment importants pour justifier cas échéant la délivrance d’une autorisation de séjour. 3.                Il résulte des considérant que l e recours doit être rejeté et la décision attaquée confirmée. Les frais sont mis à la charge du recourant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