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PE.2011.0328 vom 31. Mai 2012</w:t>
      </w:r>
    </w:p>
    <w:p>
      <w:r>
        <w:t>VD Tribunal cantonal, 2012-05-31, FR</w:t>
      </w:r>
    </w:p>
    <w:p>
      <w:r>
        <w:rPr>
          <w:b/>
        </w:rPr>
        <w:t xml:space="preserve">Quelle: </w:t>
      </w:r>
      <w:r>
        <w:t>https://mcp.opencaselaw.ch/entscheid/vd_omni_PE.2011.0328</w:t>
      </w:r>
    </w:p>
    <w:p>
      <w:r>
        <w:t>FR: VD_OMNI PE.2011.0328 du 31 mai 2012</w:t>
      </w:r>
    </w:p>
    <w:p>
      <w:r>
        <w:t>IT: VD_OMNI PE.2011.0328 del 31 maggio 2012</w:t>
      </w:r>
    </w:p>
    <w:p>
      <w:pPr>
        <w:pStyle w:val="Heading2"/>
      </w:pPr>
      <w:r>
        <w:t>Regeste</w:t>
      </w:r>
    </w:p>
    <w:p>
      <w:r>
        <w:t>A. X.________ Y.________/Service de la population (SPOP) | Recours contre le refus de prolonger l'autorisation de séjour, respectivement le refus d'octroyer une autorisation d'établissement à la recourante, de nationalité brésilienne, suite au décès de son époux, ressortissant suisse et espagnol, au motif que la vie commune n'avait tout juste pas duré cinq ans au moment du décès pour bénéficier de l'application de l'art. 42 al. 3 LEtr. Contrairement à ce que retient l'autorité intimée, la recourante doit toutefois être mise au bénéfice d'une autorisation de séjour, dès lors que la vie commune des conjoints a duré plus de trois ans et que l'intégration peut être considérée comme réussie selon l'art. 50 al. 1 let. a LEtr. En effet, la recourante est indépendante financièrement (l'exploitation de son salon de massage lui procurerait des revenus mensuels nets de l'ordre de 3'000 fr., revenu qui est complété par une rente de veuve qu'elle reçoit depuis le décès de son conjoint), dispose de connaissances linguistiques suffisantes et n'a pas pas adopté un comportement de nature à compromettre l'ordre public suisse. La recourante ne remplit cependant pas les conditions d'un octroi anticipé d'une autorisation d'établissement en vertu de l'art. 34 al. 4 LEtr, dès lors qu'elle n'a réglé ses dettes, notamment fiscales, et appris le français qu'à l'occasion de la procédure de renouvellement de son autorisation de séjour. Recours admis en tant qu'il vise à lui octroyer une autorisation de séjour.</w:t>
      </w:r>
    </w:p>
    <w:p>
      <w:pPr>
        <w:pStyle w:val="Heading2"/>
      </w:pPr>
      <w:r>
        <w:t>Erwägungen</w:t>
      </w:r>
    </w:p>
    <w:p>
      <w:r>
        <w:rPr>
          <w:b/>
        </w:rPr>
        <w:t>E. 1</w:t>
      </w:r>
    </w:p>
    <w:p>
      <w:r>
        <w:t>La recourante invoque son droit d’obtenir une autorisation d’établissement, compte tenu de la durée de son mariage, respectivement de sa vie commune avec son défunt conjoint, ressortissant suisse. a) L’art. 42 al. 3 de la loi fédérale du 16 décembre 2005 sur les étrangers (LEtr; RS 142.20) dispose qu’après un séjour légal ininterrompu de cinq ans, le conjoint a droit à l’octroi d’une autorisation d’établissement. Les Directives de l’ODM "I. Domaine des étrangers", dans leur version au 30 septembre 2011, précisent ce qui suit au sujet de ce délai de cinq ans (ch. 6.2.4.1): "Ce délai ne comprend que la durée du séjour ininterrompu de l’intéressé en Suisse pendant son mariage. Le regroupement au titre de l’art. 42, al. 1, LEtr, suppose en outre que les conjoints vivent en ménage commun. Après ce délai de cinq ans, le droit à l'établissement existe même si, ultérieurement, il y a divorce ou décès du conjoint suisse." Le Tribunal fédéral a jugé que le début du délai coïncidait en principe avec la date du mariage en Suisse, ou lorsque le mariage était célébré à l’étranger, à la date de l’entrée en Suisse (ATF 130 II 49 consid. 3.2.3, p. 54; 2C_102/2010 du 21 avril 2011; arrêt du Tribunal administratif fédéral C-2211/2009 du 7 avril 2010 consid. 5.3 et les références citées ). Par séjour légal ininterrompu, il faut entendre une vie commune de cinq ans au moins (arrêts PE.2011.0442 du 10 février 2012 consid 1a; PE.2011.0078 du 4 août 2011 consid. 4a et les arrêts cités). b) En l’espèce, il ressort du dossier que la recourante est entrée en Suisse, suite à son mariage, en date du 23 juillet 2005 afin d’y vivre maritalement avec son conjoint. Au décès de ce dernier, le 20 juin 2010, la condition de durée de vie commune n’était donc tout juste pas donnée, de sorte que la recourante ne peut prétendre à une autorisation d’établissement au titre de l’art. 42 al. 3 LEtr.</w:t>
      </w:r>
    </w:p>
    <w:p>
      <w:r>
        <w:rPr>
          <w:b/>
        </w:rPr>
        <w:t>E. 2</w:t>
      </w:r>
    </w:p>
    <w:p>
      <w:r>
        <w:t>Reste à déterminer dans quelle mesure la recourante peut prétendre à une autorisation d'établissement fondée sur l'art. 34 al. 4 LEtr, ou, le cas échéant, à une autorisation de séjour fondée sur l'art. 50 al. 1 let. a LEtr. a) Aux termes de l'art. 34 al. 4 LEtr, l'autorisation d'établissement " peut être octroyée au terme d'un séjour ininterrompu de cinq ans au titre d'une autorisation de séjour lorsque l'étranger s'est bien intégré en Suisse, en particulier lorsqu'il a de bonnes connaissances d'une langue nationale ". Quant à l'art. 50 al. 1 let. a LEtr, il prévoit qu'après dissolution de la famille, le droit du conjoint et des enfants à l'octroi d'une autorisation de séjour et à la prolongation de sa durée de validité en vertu des art. 42 et 43 subsiste lorsque l'union conjugale a duré au moins trois ans et que l'intégration est réussie. b) En l'occurrence, la recourante peut se prévaloir d'un séjour ininterrompu de cinq ans, ainsi que d'une union conjugale ayant duré plus de trois ans. En effet, une autorisation de séjour a été délivrée à la recourante le 23 juillet 2005 et a été constamment renouvelée jusqu’au 22 juillet 2010. c) L’autorité intimée conteste toutefois que les conditions d’intégration soient réalisées. Elle soutient que l’intégration de la recourante ne peut être considérée comme réussie, dès lors qu’elle aurait été condamnée pour une infraction à la LSEE, qu’elle ne maîtrise pas suffisamment le français, qu’elle n’aurait que très peu d’attaches en Suisse à l’inverse du Brésil, qu’elle aurait bénéficié de prestations de l’aide sociale et qu’elle ne peut pas justifier de qualifications professionnelles spécifiques.</w:t>
      </w:r>
    </w:p>
    <w:p>
      <w:r>
        <w:rPr>
          <w:b/>
        </w:rPr>
        <w:t>E. 3</w:t>
      </w:r>
    </w:p>
    <w:p>
      <w:r>
        <w:t>Est ainsi seule litigieuse l'étendue de l'intégration de la recourante. Se pose la question de savoir dans quelle mesure l'expression " s'est bien intégré en Suisse " de l'art. 34 al. 4 LEtr doit être interprétée plus restrictivement que l'exigence d'une " intégration réussie " au sens de l'art. 50 al. 1 let. a LEtr. Quand bien même la version allemande de ces deux dispositions utilise la même terminologie d'" erfolgreiche Integration ", le Tribunal administratif fédéral a jugé qu'en matière d'octroi anticipé d'une autorisation d'établissement, l'autorité compétente se devait d'accorder une attention particulière au degré d'intégration du requérant (ATAF C-7683/2008 du 29 mars 2010 consid. 6.1). Reprenant l'avis d'une partie de la doctrine qui s'est exprimée à ce sujet, le Tribunal administratif fédéral a précisé que plus le statut juridique sollicité confère des droits étendus au requérant, plus les exigences liées au niveau d'intégration sont élevées (ATAF C-7683/2008 précité; M. Gattiker, Integration im neuen Ausländergesetz – ein Zwischenbilanz, in Annuaire du droit de la migration 2007/2008, Berne 2008, p. 91). a) La teneur de l’art. 34 al. 4 LEtr est précisée par l'art. 62 al. 1 de l’ordonnance relative à l’admission, au séjour et à l’exercice d’une activité lucrative du 24 octobre 2007 (OASA; 142.201), qui prévoit que l'autorisation d'établissement peut être octroyée en cas d'intégration réussie, notamment lorsque l'étranger respecte l'ordre juridique suisse et les valeurs de la Constitution fédérale (let. a), lorsqu'il dispose de connaissances de la langue nationale parlée au lieu de domicile équivalant au moins au niveau de référence A2 du Cadre européen de référence pour les langues publié par le Conseil de l'Europe, les connaissances d'une autre langue nationale pouvant également être prises en compte dans des cas dûment motivés (let. b), et lorsqu'il manifeste sa volonté de participer à la vie économique et de se former (let. c). Les conditions permettant d'admettre l'existence d'une intégration réussie sont encore précisées par les directives de l’ ODM précitées (cf. ch. 3.4.3.5.2): "Les étrangers contribuent à leur intégration notamment en respectant l’ordre juridique et les principes démocratiques, en apprenant une langue nationale et en manifestant leur volonté de participer à la vie économique et d’acquérir une formation (cf. voir critères d’intégration annexe 3/2). Lors de l’examen du degré d’intégration, il sera tenu compte de la situation particulière du requérant. L’ODM a établi, en collaboration avec l’Association des services cantonaux de migration (ASM) et la Conférence des délégués communaux, régionaux et cantonaux à l’intégration (CDI), une liste de critères permettant d’établir le degré d’intégration de l’étranger (cf. annexe 1, directives IV / 2.3.4)." Dans l'examen de ces critères d'intégration, les autorités compétentes disposent d'un pouvoir d'appréciation (cf. art. 54 al. 2 et 96 al. 1 LEtr et art. 3 de l’ordonnance sur l’intégration des étrangers du 24 octobre 2007 [OIE; RS 142.205]). b) Le principe d'intégration doit permettre aux étrangers dont le séjour est légal et durable de participer à la vie économique, sociale et culturelle de la Suisse (art. 4 al. 2 LEtr; cf. ATF 2C_986/2010 du 18 mai 2011 consid. 5.1 et 5.2; 134 II 1 consid. 4.1 p. 4 s.).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Le Tribunal fédéral a précisé que l'adverbe "notamment", qui est employé tant à l'art. 77 al. 4 OASA qu'à l'art.</w:t>
      </w:r>
    </w:p>
    <w:p>
      <w:r>
        <w:rPr>
          <w:b/>
        </w:rPr>
        <w:t>E. 4</w:t>
      </w:r>
    </w:p>
    <w:p>
      <w:r>
        <w:t>Compte tenu des considérants qui précèdent, le recours doit être admis, la décision attaquée annulée et la cause renvoyée à l’autorité intimée pour nouvelle décision dans le sens des considérants. Vu le sort du recours, le présent arrêt sera rendu sans frais. Assistée par un mandataire professionnel, la recourante a droit à des dépens à la charge de l’autorité intimée (art.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