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PE.2011.0317 vom 10. Oktober 2011</w:t>
      </w:r>
    </w:p>
    <w:p>
      <w:r>
        <w:t>VD Tribunal cantonal, 2011-10-10, FR</w:t>
      </w:r>
    </w:p>
    <w:p>
      <w:r>
        <w:rPr>
          <w:b/>
        </w:rPr>
        <w:t xml:space="preserve">Quelle: </w:t>
      </w:r>
      <w:r>
        <w:t>https://mcp.opencaselaw.ch/entscheid/vd_omni_PE.2011.0317</w:t>
      </w:r>
    </w:p>
    <w:p>
      <w:r>
        <w:t>FR: VD_OMNI PE.2011.0317 du 10 octobre 2011</w:t>
      </w:r>
    </w:p>
    <w:p>
      <w:r>
        <w:t>IT: VD_OMNI PE.2011.0317 del 10 ottobre 2011</w:t>
      </w:r>
    </w:p>
    <w:p>
      <w:pPr>
        <w:pStyle w:val="Heading2"/>
      </w:pPr>
      <w:r>
        <w:t>Regeste</w:t>
      </w:r>
    </w:p>
    <w:p>
      <w:r>
        <w:t>X.________ c/Service de la population (SPOP) | Ressortissante brésilienne ayant fait usage d'une fausse carte d'identité portugaise. Bien qu'elle affirme que son grand-père serait portugais, la recourante ne démontre pas qu'elle serait elle-même portugaise ou ressortissante d'un autre Etat CE/AELE. Elle ne peut donc se prévaloir d'aucun droit à la délivrance d'un titre de séjour CE/AELE. Ses explications quant à l'obtention du faux document ne changent rien au fait qu'elle n'a pas la nationalité portugaise et n'amènent pas davantage à envisager l'octroi d'un autre type d'autorisation de séjour. Recours rejeté.</w:t>
      </w:r>
    </w:p>
    <w:p>
      <w:pPr>
        <w:pStyle w:val="Heading2"/>
      </w:pPr>
      <w:r>
        <w:t>Erwägungen</w:t>
      </w:r>
    </w:p>
    <w:p>
      <w:r>
        <w:rPr>
          <w:b/>
        </w:rPr>
        <w:t>E. 1</w:t>
      </w:r>
    </w:p>
    <w:p>
      <w:r>
        <w:t>a) L'accord entre la Confédération suisse, d'une part, et la Communauté européenne et ses Etats membres, d'autre part, sur la libre circulation des personnes (ALCP; RS 0.142.112.681), entré en vigueur le 1 er juin 2002, a pour objectif d'accorder en faveur de leurs ressortissants, notamment un droit d'entrée, de séjour, d'accès à une activité économique salariée, sur le territoire des parties contractantes, selon l'art. 1 er let. a ALCP. Selon l'art. 24 § 1 annexe I ALCP, cet accord permet aussi à une personne ressortissante d'une partie contractante n'exerçant pas d'activité économique dans l'Etat de résidence et qui ne bénéfice pas d'un droit de séjour en vertu d'autres dispositions du présent accord de recevoir un titre de séjour d'une durée d'au moins cinq ans, à condition qu'elle prouve aux autorités nationales compétentes qu'elle dispose pour elle-même et les membres de sa famille de moyens financiers suffisants pour ne pas devoir faire appel à l'aide sociale pendant le séjour et d'une assurance-maladie couvrant l'ensemble des risques. b) En l'espèce, il n'est pas démontré que la recourante, qui aurait un grand-père portugais, serait elle-même portugaise ou titulaire d'une autre nationalité conférée par un Etat membre de la Communauté européenne. Elle ne peut se prévaloir, en l'état, d'aucun droit à la délivrance d'un titre de séjour CE/AELE La recourante affirme certes que, face à l'impossibilité d'obtenir depuis le Brésil un document d'identité portugais sans établir d'abord sa filiation, elle avait chargé un tiers " beau parleur " de lui obtenir un tel document " moyennant rémunération "; loin d'avoir voulu abuser l'autorité, elle aurait elle-même été victime d'un escroc. Outre qu'elles ne convainquent guère que la recourante ait ignoré de bonne foi la fausseté de ce document, ces déclarations ne changent rien au fait que la recourante n'a pas la nationalité portugaise. Par ailleurs, elles n'amènent pas davantage à envisager l'octroi d'un autre type d'autorisation de séjour. Le recours est ainsi d'emblée manifestement mal fondé. Enfin, il n'y a pas lieu de suspendre la présente procédure jusqu'à l'éventuel aboutissement des démarches annoncées en vue d'obtenir un document d'identité portugais authentique. Cas échéant, l'obtention d'un tel document permettrait de rouvrir une procédure auprès de l'autorité intimée.</w:t>
      </w:r>
    </w:p>
    <w:p>
      <w:r>
        <w:rPr>
          <w:b/>
        </w:rPr>
        <w:t>E. 2</w:t>
      </w:r>
    </w:p>
    <w:p>
      <w:r>
        <w:t>Les considérants qui précèdent conduisent au rejet du recours, selon la procédure prévue par l'art. 82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