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PE.2011.0306 vom 21. März 2011</w:t>
      </w:r>
    </w:p>
    <w:p>
      <w:r>
        <w:t>VD Tribunal cantonal, 2011-03-21, FR</w:t>
      </w:r>
    </w:p>
    <w:p>
      <w:r>
        <w:rPr>
          <w:b/>
        </w:rPr>
        <w:t xml:space="preserve">Quelle: </w:t>
      </w:r>
      <w:r>
        <w:t>https://mcp.opencaselaw.ch/entscheid/vd_omni_PE.2011.0306</w:t>
      </w:r>
    </w:p>
    <w:p>
      <w:r>
        <w:t>FR: VD_OMNI PE.2011.0306 du 21 mars 2011</w:t>
      </w:r>
    </w:p>
    <w:p>
      <w:r>
        <w:t>IT: VD_OMNI PE.2011.0306 del 21 marzo 2011</w:t>
      </w:r>
    </w:p>
    <w:p>
      <w:pPr>
        <w:pStyle w:val="Heading2"/>
      </w:pPr>
      <w:r>
        <w:t>Regeste</w:t>
      </w:r>
    </w:p>
    <w:p>
      <w:r>
        <w:t>A.X._________ c/Service de la population (SPOP) | Le recourant prétend avoir adressé par erreur son recours au SPOP. Cette pièce ne figure toutefois pas dans le dossier du SPOP et le recourant n'est pas en mesure de fournir une copie du recours. Echec dans la preuve de l'observation du délai de recours.</w:t>
      </w:r>
    </w:p>
    <w:p>
      <w:pPr>
        <w:pStyle w:val="Heading2"/>
      </w:pPr>
      <w:r>
        <w:t>Erwägungen</w:t>
      </w:r>
    </w:p>
    <w:p>
      <w:r>
        <w:rPr>
          <w:b/>
        </w:rPr>
        <w:t>E. 1</w:t>
      </w:r>
    </w:p>
    <w:p>
      <w:r>
        <w:t>a) Aux termes de l'art. 95 de la loi cantonale vaudoise du 28 octobre 2008 sur la procédure administrative (LPA-VD; RSV 173.36), le recours au Tribunal cantonal s'exerce dans les 30 jours dès la notification de la décision ou du jugement attaqué. A teneur de l'art. 19 LPA-VD, les délais fixés en jour commencent à courir le lendemain du jour de leur communication ou de l'événement qui les déclenche (al. 1). Lorsqu'un délai échoit un samedi, un dimanche ou un jour férié, son échéance est reportée au jour ouvrable suivant (al. 2). Par ailleurs, sauf dispositions légales contraires, les délais fixés en jours par la loi ou par l'autorité ne courent pas durant les féries judiciaires (art. 96 al. 1 LPA-VD), soit notamment du 15 juillet au 15 août inclusivement (let. b). Selon l'art. 20 al. 1 LPA-VD, le délai est réputé observé lorsque l'écrit est remis à l'autorité, à un bureau de poste suisse ou à une représentation diplomatique ou consulaire suisse au plus tard le dernier jour du délai. Les délais légaux, tel celui prévu par l'art. 95 LPA-VD,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b) Selon la jurisprudence, le fardeau de la preuve de la notification d'un acte, respectivement de la date à laquelle celle-ci a été effectuée, incombe en principe à l'autorité ou à la personne qui entend tirer une conséquence juridique (cf. ATF 4A_236/2009 du 3 septembre 2009 consid. 2.1 et les références). Si la notification d'un acte envoyé sous pli simple ou la date de la notification sont contestées, et qu'il existe effectivement un doute à ce sujet, il y a lieu de se fonder sur les déclarations du destinataire de la communication (ATF 124 V 400 consid. 2a et les références).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citant ATF 105 III 43, consid. 3 p. 46). c) En l'espèce, il ressort clairement du dossier que la décision du SPOP a été notifiée au recourant le 10 mai 2011, comme l'atteste le procès-verbal de notification que le recourant a signé. Remis à un bureau de poste suisse le 22 août 2011, le présent recours a dès lors manifestement été déposé tardivement, et est en conséquence irrecevable. Interpellé à cet égard (cf. art. 78 al. 1 LPA-VD), le recourant a allégué avoir adressé un recours au SPOP quelques jours après avoir reçu la décision révoquant son autorisation de séjour et prononçant son renvoi de Suisse. Il est exact qu'un recours déposé à temps mais qui aurait été adressé au SPOP, c'est-à-dire à l'autorité intimée (qui l'aurait transmis au tribunal comme l'exige l'art. 7 al. 1 LPA-VD), aurait valablement sauvegardé le délai de recours (art. 20 al. 2 LPA-VD). Il apparaît toutefois que cette pièce ne figure pas dans le dossier du SPOP, ce qui met ainsi fortement en doute son existence. De plus, le recourant n'est même pas en mesure de fournir une copie du recours qu'il prétend avoir adressé au SPOP. Il échoue donc dans la preuve de l'observation du délai de recours qui lui incombait.</w:t>
      </w:r>
    </w:p>
    <w:p>
      <w:r>
        <w:rPr>
          <w:b/>
        </w:rPr>
        <w:t>E. 2</w:t>
      </w:r>
    </w:p>
    <w:p>
      <w:r>
        <w:t>Il résulte des considérants qui précèdent que le recours a été déposé tardivement et est, en conséquence, irrecevable (cf. art. 78 al. 3 LPA-VD, applicable par analogie par renvoi de l'art. 99 LPA-VD).</w:t>
      </w:r>
    </w:p>
    <w:p>
      <w:r>
        <w:rPr>
          <w:b/>
        </w:rPr>
        <w:t>E. 3</w:t>
      </w:r>
    </w:p>
    <w:p>
      <w:r>
        <w:t>L’arrêt est rendu sans frais et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