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PE.2011.0284 vom 23. August 2012</w:t>
      </w:r>
    </w:p>
    <w:p>
      <w:r>
        <w:t>VD Tribunal cantonal, 2012-08-23, FR</w:t>
      </w:r>
    </w:p>
    <w:p>
      <w:r>
        <w:rPr>
          <w:b/>
        </w:rPr>
        <w:t xml:space="preserve">Quelle: </w:t>
      </w:r>
      <w:r>
        <w:t>https://mcp.opencaselaw.ch/entscheid/vd_omni_PE.2011.0284</w:t>
      </w:r>
    </w:p>
    <w:p>
      <w:r>
        <w:t>FR: VD_OMNI PE.2011.0284 du 23 août 2012</w:t>
      </w:r>
    </w:p>
    <w:p>
      <w:r>
        <w:t>IT: VD_OMNI PE.2011.0284 del 23 agosto 2012</w:t>
      </w:r>
    </w:p>
    <w:p>
      <w:pPr>
        <w:pStyle w:val="Heading2"/>
      </w:pPr>
      <w:r>
        <w:t>Regeste</w:t>
      </w:r>
    </w:p>
    <w:p>
      <w:r>
        <w:t>X. ________ c/Service de la population (SPOP) | Ressortissant portugais condamné à une peine pécuniaire de 330 jours-amende, avec sursis pendant deux ans, pour avoir abusé sexuellement d'un adolescent de 15 ans, souffrant d'un léger autisme. Annulation de la révocation de son autorisation de séjour. Les faits sont certes sérieux. Le risque de récidive - déterminant en l'espèce - apparaît toutefois faible. Les faits remontent en effet à cinq ans. Depuis lors, le recourant n'a plus commis d'infraction ni occupé les services de la police et, hormis un antécédent de peu de gravité et dans un domaine différent, il s'agit de sa seule condamnation.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Ressortissant portugais,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la révocation de l'autorisation de séjour UE/AELE, l'art. 62 LEtr est applicable ( Laurent Merz, Le droit de séjour selon l'ALCP et la jurisprudence du Tribunal fédéral, RDAF 2009 I p. 300, ainsi que les références citées ). Aux termes de l'art. 62 LEtr, l'autorité compétente peut révoquer une autorisation de séjour notamment si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(let.c). Selon la jurisprudence du Tribunal fédéral, une peine privative de liberté est considérée comme étant de longue durée, au sens de l'art. 62 let. b LEtr, lorsqu'elle dépasse un an d'emprisonnement (ATF 135 II 377 consid. 4.2 p. 379 ss), indépendamment du fait qu'elle ait été prononcée avec sursis (complet ou partiel) ou sans sursis (arrêt 2C_48/2011 du 6 juin 2011 consid. 6.1). Cette durée doit impérativement résulter d'un seul jugement pénal, l'addition de plusieurs peines plus courtes n'étant pas admissible (ATF 137 II 297 consid. 2 p. 299 ss). L'art. 80 al. 1 let. a de l'ordonnance fédérale du 24 octobre 2007 relative à l'admission, au séjour et à l'exercice d'une activité lucrative (OASA; RS 142.201) précise qu'il y a notamment atteinte à la sécurité et à l'ordre publics suisses au sens de l'art. 62 let. c LEtr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b)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postérieurs à cette date, cf. ATF 130 II 1 consid. 3.6 p. 9 ss, 113 consid. 5.2 p. 119 s. et les références citées).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134 II 10 consid. 4.3 p. 24; 130 II 176 consid. 3.4.1, 4.2 et 4.3.1 et les références). Selon les circonstances, la jurisprudence admet néanmoins que le seul fait du comportement passé de la personne concernée puisse réunir les conditions de pareille menace actuelle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En outre, comme lorsqu'il s'agit d'examiner la conformité d'une mesure d'éloignement prise à l'encontre de n'importe quel autre étranger, cette appréciation se fera dans le cadre des garanties découlant de la Convention européenne des droits de l'homme (CEDH RS 0.101) - en particulier de l'art. 8 qui consacre le droit au respect de la vie privée et familiale (par. 1) tout en prévoyant d'ailleurs des limites à l'exercice de ce droit (par. 2) - et en tenant compte du principe de la proportionnalité (ATF 130 II 176 consid. 3.4.2 p. 184 et ATF 2A.12/2004 consid. 3.3).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(ATF 2A.626/2004 du 6 mai 2006 consid. 5.2; arrêt PE.2009.0555 du 16 mars 2010 consid. 3b p. 5).</w:t>
      </w:r>
    </w:p>
    <w:p>
      <w:r>
        <w:rPr>
          <w:b/>
        </w:rPr>
        <w:t>E. 3</w:t>
      </w:r>
    </w:p>
    <w:p>
      <w:r>
        <w:t>En l'espèce, le recourant a été condamné en 2010 à une peine pécuniaire de 330 jours-amende à 30 fr., avec sursis pendant deux ans, pour actes d'ordre sexuel avec des enfants, actes d'ordre sexuel commis sur une personne incapable de discernement ou de résistance et de pornographie, commission en commun. Il ne réalise ainsi pas le motif de révocation prévu par l'art. 62 let. b LEtr, puisqu'il n'a pas été condamné à une peine privative de liberté. En revanche, en raison de la nature des actes commis et du bien juridique atteint, à savoir l'intégrité sexuelle, il tombe assurément sous le coup de l'art. 62 let. c LEtr. Reste toutefois à examiner si une mesure de révocation se justifie sous l'angle des conditions dont l'ALCP fait dépendre la limitation des droits qu'il confère, ainsi que du principe de proportionnalité (ATF 2C_473/2011 du 17 octobre 2011). Les faits commis sont sérieux. Le recourant et ses co-accusés ont en effet profité des faiblesses d'un adolescent âgé de quinze ans, souffrant d'un léger autisme, pour l'utiliser selon leurs envies, parce qu'il leur plaisait. Le risque de récidive – déterminant en l'espèce – paraît toutefois faible. Les faits commis remontent en effet au mois d'octobre 2007, soit à un peu moins de cinq ans. Depuis lors, le recourant n'a plus commis d'infraction ni occupé les services de la police. En outre, hormis un antécédent de peu de gravité et dans un domaine différent, il s'agit de sa seule condamnation. Le Tribunal correctionnel de l'arrondissement de Lausanne est du reste parvenu au même constat, puisqu'il a renoncé à prononcer une peine privative de liberté et a mis le recourant au bénéfice du sursis minimal de deux ans. A cela s'ajoute que le recourant occupe depuis le mois de décembre 2010 un emploi stable, qui lui permet d'être autonome financièrement, et qu'il entretient une relation sérieuse avec son partenaire. Au regard de ces éléments, il y a lieu d'admettre, conformément à la jurisprudence selon laquelle les limites posées au principe de la libre circulation des personnes doivent s'interpréter de manière restrictive, que le recourant ne représente pas, en l'état, une menace suffisamment grave pour justifier une mesure d'ordre public au sens de l'art. 5 annexe I ALCP. Il convient toutefois de souligner que s'il devait récidiver, le recourant s'exposerait avec une grande vraisemblance à des mesures d'éloignements.</w:t>
      </w:r>
    </w:p>
    <w:p>
      <w:r>
        <w:rPr>
          <w:b/>
        </w:rPr>
        <w:t>E. 4</w:t>
      </w:r>
    </w:p>
    <w:p>
      <w:r>
        <w:t>Les considérants qui précèdent conduisent à l'admission du recours et à l'annulation de la décision attaquée, l'autorisation de séjour valable étant maintenue. Compte tenu de l'issue du litige, l'arrêt sera rendu sans frais (art. 52 al. 1 LPA-VD). Assisté par mandataire professionnel, le recourant a droit à l'allocation de dépens à la charge de l'autorité intimée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