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PE.2011.0277 vom 24. November 2011</w:t>
      </w:r>
    </w:p>
    <w:p>
      <w:r>
        <w:t>VD Tribunal cantonal, 2011-11-24, FR</w:t>
      </w:r>
    </w:p>
    <w:p>
      <w:r>
        <w:rPr>
          <w:b/>
        </w:rPr>
        <w:t xml:space="preserve">Quelle: </w:t>
      </w:r>
      <w:r>
        <w:t>https://mcp.opencaselaw.ch/entscheid/vd_omni_PE.2011.0277</w:t>
      </w:r>
    </w:p>
    <w:p>
      <w:r>
        <w:t>FR: VD_OMNI PE.2011.0277 du 24 novembre 2011</w:t>
      </w:r>
    </w:p>
    <w:p>
      <w:r>
        <w:t>IT: VD_OMNI PE.2011.0277 del 24 novembre 2011</w:t>
      </w:r>
    </w:p>
    <w:p>
      <w:pPr>
        <w:pStyle w:val="Heading2"/>
      </w:pPr>
      <w:r>
        <w:t>Regeste</w:t>
      </w:r>
    </w:p>
    <w:p>
      <w:r>
        <w:t>A. X.________ c/Service de la population (SPOP) | Confirmation de la décision de renvoi d'un ressortissant gambien qui, lors de son interpellation, séjournait depuis plus de trois mois en Suisse, sans une autorisation de séjour qu'il était pourtant tenu de requérir. A cela s'ajoute qu'il est détenu avant jugement depuis neuf mois et fait actuellement l'objet d'une enquête pénale pour avoir participé de manière active à un trafic de cocaïne portant sur près de dix-sept fois la quantité minimale à compter de laquelle l'infraction à la LStup devient un crime. Sans qu'il ne soit besoin d'évoquer ici le respect de la présomption d'innocence, le recourant représente une menace claire pour la sécurité et l'ordre public. Au surplus, l'on n'est pas confronté en l'occurrence à une sitution personnelle d'extrême gravité faisant obstacle à son renvoi de Suisse au terme de son séjour carcéral.</w:t>
      </w:r>
    </w:p>
    <w:p>
      <w:pPr>
        <w:pStyle w:val="Heading2"/>
      </w:pPr>
      <w:r>
        <w:t>Erwägungen</w:t>
      </w:r>
    </w:p>
    <w:p>
      <w:r>
        <w:rPr>
          <w:b/>
        </w:rPr>
        <w:t>E. 1</w:t>
      </w:r>
    </w:p>
    <w:p>
      <w:r>
        <w:t>Le recourant a requis la tenue d’une audience et l’audition de C. Z.________ en qualité de témoin. Comme on le verra plus loin, il présente cette dernière comme étant sa fiancée et se prévaut d’un projet de mariage avec elle.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le recourant. Il s’en tiendra à une procédure exclusivement écrite. Comme on le verra dans les considérants qui suivent, le litige a trait à des questions d’ordre exclusivement juridique, que le Tribunal examine avec un plein pouvoir d’examen (art. 76 LPA-VD). Au surplus, ni l’audition du recourant, ni la déposition de C. Z.________ ne sont susceptibles d’ébranler la conviction de la Cour. Dès lors, par appréciation anticipée des preuves, le Tribunal s’estime en mesure de statuer en connaissance de cause, en se dispensant de l’audience réclamée par le recourant.</w:t>
      </w:r>
    </w:p>
    <w:p>
      <w:r>
        <w:rPr>
          <w:b/>
        </w:rPr>
        <w:t>E. 2</w:t>
      </w:r>
    </w:p>
    <w:p>
      <w:r>
        <w:t>Selon l'art. 5 LEtr, tout étranger doit, pour entrer en Suisse (al. 1),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enfin ne faire l'objet d'aucune mesure d'éloignement (let. d). S'il prévoit un séjour temporaire, il doit apporter la garantie qu'il quittera la Suisse (ibid., al. 2). Tout étranger peut séjourner en Suisse sans exercer d’activité lucrative pendant trois mois sans autorisation, sauf si la durée fixée dans le visa est plus courte (art. 10 al. 1 LEtr). L’étranger qui prévoit un séjour plus long sans activité lucrative doit être titulaire d’une autorisation. Il doit la solliciter avant son entrée en Suisse auprès de l’autorité compétente du lieu de résidence envisagé. L’art. 17, al. 2, est réservé (ibid., al. 2).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(art. 12 al. 1 LEtr).</w:t>
      </w:r>
    </w:p>
    <w:p>
      <w:r>
        <w:rPr>
          <w:b/>
        </w:rPr>
        <w:t>E. 3</w:t>
      </w:r>
    </w:p>
    <w:p>
      <w:r>
        <w:t>Aux termes de l’art. 64 al. 1 LEtr,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(art. 64 al. 2 LEtr). Si des motifs de sécurité et d’ordre publics, de sécurité intérieure ou extérieure justifient un départ immédiat, une décision est rendue sans invite préalable. Cette même disposition prévoit à son al. 3, un délai de cinq jours pour déposer un recours contre la décision visée à l'al. 1 let. a et b; le recours n'a pas d'effet suspensif, l'autorité de recours ayant cependant la possibilité de le restituer. a) La décision de renvoi est une décision d'exécution (Zünd/Arquint Hill in Uebersax/Rudin/Hugi Yar/Geiser, Ausländerrecht, 2 ème éd., Bâle 2009, n. 8.61, p. 348). Lorsqu'une personne est entrée illégalement en Suisse, la décision de renvoi lui est notifiée au moyen d'un formulaire type (art. 64b LEtr).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 (art. 64d al. 1 LEtr). Le renvoi peut être immédiatement exécutoire ou un délai de départ inférieur à sept jours peut être fixé dans les cas prévus à l'art. 64d al. 2 LEtr. En cas d'exécution immédiate d'une décision de renvoi ou lorsque la personne concernée ne s'acquitte pas de son obligation de départ, une interdiction d'entrée est prononcée par l'ODM (art. 67 al. 1 LEtr); pour des raisons humanitaires ou pour d'autres motifs importants, l'ODM peut s'abstenir de prononcer une interdiction d'entrée ou suspendre provisoirement ou définitivement une interdiction d'entrée (art. 67 al. 5 LEtr). Une telle interdiction peut en outre être prononcée notamment lorsque l'étranger a attenté à la sécurité et à l'ordre public en Suisse ou à l'étranger ou les a mis en danger (art. 67 al. 2 let. a LEtr). Enfin, l'autorité compétente peut reporter l'exécution du renvoi ou de l'expulsion pour une période appropriée lorsque des circonstances particulières le justifient (problèmes de santé, absence de moyen de transport, notamment; art. 69 al. 3 LEtr). b) Ces nouvelles dispositions résultent de l'approbation et de la mise en œuvre de l'échange de notes entre la Suisse et la Communauté européenne concernant la reprise de la directive CE sur le retour (directive 2008/115/CE). Selon le Message du Conseil fédéral du 18 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 automatisé aux frontières, conseillers en matière de documents, système d'information MIDES)" , publié in FF 2009 VIII 8043 ss (ci-après: le Message), cette directive s'applique aux ressortissants de pays tiers en séjour irrégulier dans un Etat Schengen. Elle entraîne notamment le remplacement du renvoi sans décision formelle visé à l'ancien art. 64 LEtr par une procédure de renvoi formelle, à savoir par un renvoi notifié au moyen d'un formulaire type. Aucune exigence particulière de forme ne s'applique à ce dernier; en revanche, il doit indiquer les motifs de fait et de droit et comporter des informations relatives aux voies de recours disponibles (Message, p. 8054). Les motifs conduisant à la prise d'une décision de renvoi, définis à l'art. 64 al. 1 let. a et b, n'ont pas été modifiés par rapport à l'ancien droit; l'al. 1 let. c correspond aux motifs de renvoi définis à l'ancien art. 66 LEtr, abrogé avec effet au 1 er janvier 2011, en application duquel était déjà rendue une décision formelle de renvoi (Message, p. 8051 s.). Le report d'un renvoi ou d'une expulsion visé par l'art. 69 al. 3 LEtr doit être différencié de la décision d'admission provisoire prévue par l'art. 83 LEtr; il ne fait que repousser la date prévue pour le départ jusqu'à ce que les obstacles à l'exécution du renvoi ou de l'expulsion soient écartés. En revanche, les obstacles fondamentaux à l'exécution du renvoi ou de l'expulsion sont examinés dès la procédure de renvoi et peuvent également être invoqués dans le cadre d'un recours contre la décision de renvoi (Message, p. 8058).</w:t>
      </w:r>
    </w:p>
    <w:p>
      <w:r>
        <w:rPr>
          <w:b/>
        </w:rPr>
        <w:t>E. 4</w:t>
      </w:r>
    </w:p>
    <w:p>
      <w:r>
        <w:t>a) En l’occurrence, la décision attaquée s’avère justifiée pour deux motifs au moins. En premier lieu, le recourant, ressortissant d'un Etat non-membre de Schengen, est titulaire d’une autorisation de séjour en Espagne. Au jour de son interpellation, il séjournait depuis plus de trois mois en Suisse, sans une autorisation de séjour qu’il était pourtant tenu de requérir. Pour ce premier motif, l 'autorité intimée était par conséquent fondée au regard de l'art. 64 al. 1 let. a LEtr à rendre à son encontre une décision formelle de renvoi. En second lieu, le recourant, détenu avant jugement depuis neuf mois, fait actuellement l’objet d’une enquête pénale pour crime contre la LStup. Il est mis en cause pour avoir participé de manière active à un trafic de cocaïne portant sur près de dix-sept fois la quantité minimale (18 g) à compter de laquelle l’infraction devient un crime, lequel est réprimé par une peine privative de liberté d’un an au moins (art. 19 al. 2 let. a LStup). Certes, le recourant n’a pas encore été jugé, mais il admet une partie des faits qui lui sont reprochés dans le rapport de police. A cela s’ajoute que le recourant a déjà été condamné à deux reprises par le passé pour des faits similaires. Sans qu’il ne soit besoin d’évoquer ici le respect de la présomption d’innocence, le recourant représente une menace claire pour la sécurité et l'ordre public. Partant, il ne remplit pas les conditions d’entrée en Suisse au regard de l’art. 64 al. 1 let. b LEtr. b) Le recourant expose sans doute qu’il est fiancé. Il tente au demeurant de se prévaloir de sa relation avec C. Z.________, ressortissante helvétique, qui formerait un projet de mariage avec lui. De manière implicite, il fait valoir à cet égard qu'un renvoi de Suisse l'empêcherait de vivre sa vie de couple. Cet argument ne résiste pas à l'examen. En effet, sous réserve de circonstances particulières, les fiancés ou les concubins ne sont pas habilités à se prévaloir d'un droit au regroupement familial en lien avec l'art. 8 de la Convention du 4 novembre 1950 de sauvegarde des droits de l’homme et des libertés fondamentales (CEDH; RS 0.101) - étant précisé que la garantie de la vie privée et familiale garantie par cette disposition correspond à celle consacrée par l'art. 13 al. 1 Cst. (cf. ATF 2C_505/2009 du 29 mars 2010 consid. 5.1 et la référence); l'étranger fiancé à une personne ayant le droit de s'établir en Suisse ne peut ainsi, en principe, pas prétendre à une autorisation de séjour de ce chef, à moins que le couple n'entretienne depuis longtemps des relations étroites et effectivement vécues (une cohabitation d'un an et demi, par exemple, n'étant pas suffisante pour fonder un tel droit), et qu'il existe des indices concrets d'un mariage sérieusement voulu et imminent (cf. ATF 2C_913/2010 du 30 novembre 2010 consid. 3 et les références; ATF 2C_300/2008 du 17 juin 2008 consid. 4.2). Au surplus, l’autorité cantonale peut autoriser un étranger entré légalement à séjourner en Suisse durant la procédure si les conditions d’admission sont manifestement remplies (al. 2). Les démarches relatives à l’engagement d’une procédure matrimoniale ne confèrent, à elles seules, aucun droit lors de la procédure d’autorisation (art. 6 al. 2 de l’ordonnance fédérale du 24 octobre 2007 relative à l’admission, au séjour et à l’exercice d’une activité lucrative – OASA; RS 142.201). Aux termes de cette disposition, l’engagement d’une procédure matrimoniale ne confère, à elle seule, aucun droit lors de la procédure d’autorisation. Il suit de là que celui qui se trouve dans un cas d’application de l’art. 17 al. 1 LEtr, doit retourner dans son pays avant de pouvoir, le cas échéant, bénéficier du droit à l’autorisation de séjour à la suite de mariage, selon l’art. 42 LEtr. En l’occurrence, le recourant ne peut se prévaloir d’aucune circonstance lui permettant d’invoquer un droit au regroupement familial, ceci d’autant moins qu’il n’a produit aucun document attestant de ce qu’une procédure préparatoire au mariage avait débuté. Le projet du recourant ne peut susciter à cet égard que les plus sérieuses réserves. c) Il est par ailleurs possible de déroger aux conditions d’admission (art. 18 à 29) pour tenir compte des cas individuels d’une extrême gravité ou d’intérêts publics majeurs (cf. art. 30 al. 1 let. b LEtr). La première de ces deux notions s’interprète à la lumière de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La jurisprudence a notamment précisé que la longueur du séjour n'était pas à elle seule constitutive d'un cas personnel d'extrême gravité, dans la mesure notamment où ce séjour était illégal (ATF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p. 113). A l’évidence, l’on n’est pas confronté en l’occurrence à une sitution personnelle d’extrême gravité faisant obstacle au renvoi de Suisse. Le recourant a séjourné à plusieurs reprises en Suisse sans la moindre autorisation et ceci, sous une fausse identité par surcroît. Il ne s’y est absolument pas intégré puisqu’il n’a jamais exercé la moindre activité lucrative et semble n’être venu que pour se livrer au trafic de stupéfiants. Titulaire d’un titre de séjour espagnol, il ne fait valoir aucune circonstance quelconque qui s’opposerait à son renvoi vers l’Espagne, ni même du reste vers son pays d’origine, la Gambie, ceci au terme de son séjour carcéral.</w:t>
      </w:r>
    </w:p>
    <w:p>
      <w:r>
        <w:rPr>
          <w:b/>
        </w:rPr>
        <w:t>E. 5</w:t>
      </w:r>
    </w:p>
    <w:p>
      <w:r>
        <w:t>Vu ce qui précède, le recours ne peut qu’être rejeté et la décision attaquée, confirmée. Le sort du recours commande de mettre un émolument judiciaire à la charge du recourant (art. 49 et 91 LPA-VD).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