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PE.2011.0269 vom 5. April 2012</w:t>
      </w:r>
    </w:p>
    <w:p>
      <w:r>
        <w:t>VD Tribunal cantonal, 2012-04-05, FR</w:t>
      </w:r>
    </w:p>
    <w:p>
      <w:r>
        <w:rPr>
          <w:b/>
        </w:rPr>
        <w:t xml:space="preserve">Quelle: </w:t>
      </w:r>
      <w:r>
        <w:t>https://mcp.opencaselaw.ch/entscheid/vd_omni_PE.2011.0269</w:t>
      </w:r>
    </w:p>
    <w:p>
      <w:r>
        <w:t>FR: VD_OMNI PE.2011.0269 du 5 avril 2012</w:t>
      </w:r>
    </w:p>
    <w:p>
      <w:r>
        <w:t>IT: VD_OMNI PE.2011.0269 del 5 aprile 2012</w:t>
      </w:r>
    </w:p>
    <w:p>
      <w:pPr>
        <w:pStyle w:val="Heading2"/>
      </w:pPr>
      <w:r>
        <w:t>Regeste</w:t>
      </w:r>
    </w:p>
    <w:p>
      <w:r>
        <w:t>X.______________ c/Service de la population (SPOP) | Rejet du recours déposé par une ressortissante algérienne contre une décision du SPOP révoquant son autorisation après dissolution de l'union conjugale. Un rapport médical basé sur les seules déclarations de la recourante ne permet pas de constater l'existence de violences conjugales. Pas de difficultés de réintégration.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a requis la tenue d'une audience pour lui permettre de s'exprimer oralement, invoquant les " enjeux considérables" soulevés par le recours. Il n’a pas été donné suite à cette requête. Les éléments figurant au dossier de la cause suffisent à forger la conviction du tribunal. La mesure d’instruction requise n'apparaît ni nécessaire ni utile à l'établissement des faits pertinents pour l'issue du litige; elle ne pourrait amener la cour de céans à modifier son opinion (voir arrêt 2A.5/2007 du 23 mars 2007 consid. 3.4; ATF 130 II 425 consid. 2.1 p. 429 et les arrêts cités).</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Aux termes de l’art. 43 LEtr, le conjoint étranger du titulaitre d’une autorisation d’établissement a droit à l’octroi d’une autorisation de séjour et au renouvellement de celle-ci, à condition de vivre en ménage commun avec son conjoint (al. 1); après un séjour légal ininterrompu de cinq ans, le conjoint a droit à une autorisation d’établissement (al. 2). L'art. 50 al. 1 let. a LEtr prévoit qu'après dissolution de la famille, le droit du conjoint à une autorisation de séjour en vertu de l'art. 43 LEtr subsiste si l'union conjugale a duré au moins trois ans et que l'intégration est réussie. b) Aussi longtemps que la recourante vivait sous le même toit que son mari, elle disposait d’un droit à l’autorisation de séjour au regard de la disposition précitée. Ce droit s’est toutefois éteint à la fin de la vie commune, qui a duré moins de trois ans. En l’espèce en effet, le mariage a été célébré le 16 juillet 2009 et la recourante et son mari ne forment plus une communauté conjugale depuis le 15 février 2011 au plus tard. La recourante ne peut donc plus se prévaloir de l'art. 43 al. 1 LEtr. Reste à savoir si d’autres dispositions lui permettent d'obtenir un titre de séjour en Suisse. La recourante se prévaut à cet égard de l’art. 50 al. 1 let. b LEtr, à teneur duquel après dissolution de la famille, le droit du conjoint à l’autorisation de séjour et à la prolongation de celle-ci subsiste lorsque la poursuite du séjour en Suisse s’impose pour des raisons personnelles majeures.</w:t>
      </w:r>
    </w:p>
    <w:p>
      <w:r>
        <w:rPr>
          <w:b/>
        </w:rPr>
        <w:t>E. 4</w:t>
      </w:r>
    </w:p>
    <w:p>
      <w:r>
        <w:t>a)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Selon la jurisprudence, l'art. 50 al. 1 let. b et 2 LEtr a pour vocation d'éviter les cas de rigueur ou d'extrême gravité. Ces dispositions ne sont pas exhaustives (voir le terme "notamment" ) et laissent aux autorités une certaine liberté d'appréciation humanitaire.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arrêt 2C_663/2009 du 23 février 2010 consid. 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précité consid. 3 in fine et les références). b) En l’occurrence, la recourante se prévaut en premier lieu des violences physiques qu’elle aurait subies durant la vie commune avec Y._______________, se référant au rapport de consultation établi le 24 septembre 2010 par le Centre universitaire romand de médecine légale ainsi qu’à celui établi le 27 septembre 2010 par le Service de gynécologie du Centre hospitalier universitaire vaudois. Le premier document ne rapporte toutefois que les déclarations de la recourante, lesquelles n’ont pas été confirmées par d’autres éléments. En particulier, la recourante n’allègue ni ne prouve avoir fait l’objet d’un suivi médical ou psychologique. Elle n’a en outre pas porté plainte. Quant au second rapport, il ne permet pas non plus de constater un degré de gravité justifiant la mise en oeuvre de l'art. 50 al. 1 let. b LEtr. De plus, aucun élément du dossier ne permet de prouver que l’hémorragie génitale de la recourante soit due aux pressions exercées par Y._______________. Par ailleurs, dans son courrier du 9 janvier 2011 au SPOP, celui-ci conteste l’existence de violences physiques durant la vie conjugale. S’agissant des violences psychologiques alléguées, que ce soit l’interdiction faite par Y._______________ de trouver un travail, les insultes ou la recherche d’une nouvelle épouse par celui-ci alors qu’il ne partageait une vie commune avec la recourante que depuis quatre mois, elles ne sont pas établies à satisfaction de droit et ne paraissent pas, au demeurant, atteindre le degré de gravité requis. De même, le critère des difficultés de réintégration dans le pays d'origine n’est pas réalisé en l’espèce. En effet, la recourante a passé l’essentiel de sa vie en Algérie où elle a effectué des études supérieures de chimie et a travaillé durant plusieurs années avant de venir en Suisse. Dans ses observations, elle indique avoir " tout quitté pour se rendre en Suisse, notamment sa famille et ses amis" et avoir " vendu le commerce qu’elle possédait en Algérie ". Mis à part cet élément, au demeurant non prouvé, la recourante ne fait pas état de possibles difficultés de réintégration dans son pays d’origine. Enfin, les liens sociaux que la recourante aurait tissés en Suisse, le fait qu’elle a réussi à trouver un emploi à 100 % malgré l’interdiction que lui aurait formulée son époux ainsi que l’absence d’inscription aux registres de poursuite et judiciaire ne constituent pas des éléments lui permettant de se prévaloir d’attaches particulièrement étroites avec la Suisse.</w:t>
      </w:r>
    </w:p>
    <w:p>
      <w:r>
        <w:rPr>
          <w:b/>
        </w:rPr>
        <w:t>E. 5</w:t>
      </w:r>
    </w:p>
    <w:p>
      <w:r>
        <w:t>Les considérants qui précèdent conduisent dès lors au rejet du recours et à la confirmation de la décision attaquée. Pour l’indemnisation du mandataire d’office, les dispositions régissant l’assistance judiciaire en matière civile sont applicables par analogie (art. 18 al. 5 LPA-VD). La loi du 24 novembre 1981 sur l’assistance judiciaire en matière civile, à laquelle renvoie l’art. 18 al. 5 LPA-VD, a été abrogée par le Code de droit privé judiciaire vaudois, du 12 janvier 2010 (CDPJ, RSV 211.02), entré en vigueur le 1 er janvier 2011. L’art. 39 al. 5 CDPJ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disposition du jugement au fond. Pour la fixation de l’indemnité, on retient le taux horaire de 180 fr. (art. 2 RAJ). Selon la liste des opérations produites le 6 février 2012, le mandataire d’office indique avoir consacré 9 heures pour les opérations de la cause, ce qui semble adéquat. Il convient dès lors d’allouer au mandataire d’office une indemnité de 1620 fr., montant auquel s’ajoute celui des débours, par 100 fr., soit 1720 fr. Compte tenu de la TVA au taux de 8% (toutes les opérations ayant été effectuées en 2011 et 2012), l’indemnité totale s’élève ainsi à 1857,60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