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PE.2011.0241 vom 26. August 2011</w:t>
      </w:r>
    </w:p>
    <w:p>
      <w:r>
        <w:t>VD Tribunal cantonal, 2011-08-26, FR</w:t>
      </w:r>
    </w:p>
    <w:p>
      <w:r>
        <w:rPr>
          <w:b/>
        </w:rPr>
        <w:t xml:space="preserve">Quelle: </w:t>
      </w:r>
      <w:r>
        <w:t>https://mcp.opencaselaw.ch/entscheid/vd_omni_PE.2011.0241</w:t>
      </w:r>
    </w:p>
    <w:p>
      <w:r>
        <w:t>FR: VD_OMNI PE.2011.0241 du 26 août 2011</w:t>
      </w:r>
    </w:p>
    <w:p>
      <w:r>
        <w:t>IT: VD_OMNI PE.2011.0241 del 26 agosto 2011</w:t>
      </w:r>
    </w:p>
    <w:p>
      <w:pPr>
        <w:pStyle w:val="Heading2"/>
      </w:pPr>
      <w:r>
        <w:t>Regeste</w:t>
      </w:r>
    </w:p>
    <w:p>
      <w:r>
        <w:t>A. X.________, B. X.________/Service de la population (SPOP) | Rejet d'un recours contre une décision du SPOP refusant de réexaminer la révocation de l'autorisation de séjour d'une ressortissante pakistanaise (recourante 1) et sa fille (recourante 2). Les recourantes soutiennent que la modification de leur situation financière ainsi que le fait que le nom du père biologique de l'enfant soit désormais connu constituent des faits nouveaux. Cela étant, l'incapacité de travail dont se prévaut la recourante 1 ainsi que l'action en désaveu intentée contre le mari de celle-ci en ce qui à trait à la filiation de la recourante 2 étaient des éléments connus lors de la procédure initiale. Partant, ils ne peuvent conduire au réexamen de la décision querellée quand bien même le père de l'enfant envisagerait dorénavant de reconnaître sa fille. Recours au Tribunal fédéral jugé irrecevable (2C_788/2011).</w:t>
      </w:r>
    </w:p>
    <w:p>
      <w:pPr>
        <w:pStyle w:val="Heading2"/>
      </w:pPr>
      <w:r>
        <w:t>Erwägungen</w:t>
      </w:r>
    </w:p>
    <w:p>
      <w:r>
        <w:rPr>
          <w:b/>
        </w:rPr>
        <w:t>E. 1</w:t>
      </w:r>
    </w:p>
    <w:p>
      <w:r>
        <w:t>Selon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 A l’appui de sa requête, la recourante allègue qu'il conviendrait d'entendre le père biologique de sa fille afin de connaître ses réelles intentions à l'égard de BX.________. Pour les motifs qui suivent, le tribunal s'estime suffisamment renseigné, de sorte qu'il peut statuer sans autre mesure d’instruction, la demande d'audition de DX.________ étant rejetée.</w:t>
      </w:r>
    </w:p>
    <w:p>
      <w:r>
        <w:rPr>
          <w:b/>
        </w:rPr>
        <w:t>E. 2</w:t>
      </w:r>
    </w:p>
    <w:p>
      <w:r>
        <w:t>ème éd., Zurich 1998, n os 426, 429, 438 et 440; Rhinow/Koller/Kiss, Öffentliches Prozessrecht und Justizverfassungsrecht des Bundes, Francfort-sur-le-Main 1996, n° 1199). Cette hypothèse ne concerne naturellement que les décisions aux effets durables ( "Dauerverfügung" ; P. Moor, op. cit., p. 230; Koelz/Haener, op. cit., n° 444), ce qui est le cas, comme en l'espèce, d'une décision réglementant le statut d'une personne au regard des règles de police des étrangers (cf. arrêt TA bernois du 8 octobre 1992, JAB 1993, p. 244 consid. 2a; PE.2009.0026 du 11 mars 2009).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w:t>
      </w:r>
    </w:p>
    <w:p>
      <w:r>
        <w:rPr>
          <w:b/>
        </w:rPr>
        <w:t>E. 3</w:t>
      </w:r>
    </w:p>
    <w:p>
      <w:r>
        <w:t>En l'espèce, l'autorité intimée a refusé d'entrer en matière sur la demande de réexamen, en considérant que les arguments invoqués n'étaient pas de nature à remettre en cause l'état de fait sur la base duquel elle avait prononcé la décision révoquant leurs autorisations de séjour CE/AELE, décision par ailleurs confirmée par la Cour de céans. a) Les recourantes se prévalent principalement du fait que leur situation financière actuelle ne serait pas aussi péjorée que l'autorité intimée ne l'a retenu dans le cadre de sa décision du 3 août 2010. aa) Ce concernant, la recourante 1 fait en particulier valoir que les prestations qui lui sont servies au titre du revenu d'insertion (ci-après: RI) sont consécutives à des difficultés économiques survenues suite à une incapacité de travail. Si l'on s'en tient aux pièces fournies à l'appui de son écriture, il appert que l'incapacité de travail dont elle se prévaut est attestée depuis le mois d'octobre 2009, soit plus de dix mois avant que le SPOP ne rende la décision que la recourante entend désormais soumettre à un réexamen. L'incapacité de travail invoquée ne constitue donc pas un fait nouveau ( echte Nova ) intervenu postérieurement à la décision rendue par l'autorité intimée au sens de l'art. 64 al. 2 let. a LPA-VD. On peut comprendre que la recourante 1 ne se soit pas prévalu de cette incapacité de travail dans le cadre de la procédure initiale dans la mesure où aucune demande d'indemnité n'avait été déposée à ce titre. Cela étant, l'octroi d'une rente d'invalidité dans le cas d'espèce demeure tout aussi hypothétique à l'heure actuelle. L'art. 28 al. 1 de la loi fédérale sur l'assurance invalidité (LAI; RS 831.20) exige en effet que l'assuré présente une incapacité de travail d’au moins 40 % en moyenne durant une année sans interruption notable. Or, si l'on s'en tient aux pièces fournies à l'appui de la requête, l'incapacité de travail invoquée par la recourante 1 ne court que jusqu'à fin mars 2010 (pièce 1a et 1b du bordereau de preuves du 28 juin 2011). Partant, il y a tout lieu de penser que les services sociaux devront continuer de pourvoir à l'entretien de la recourante de sorte que l'incapacité de travail dont elle se prévaut ne peut être qualifiée de moyen de preuve important au sens de l'art. 64 al. 2 let. b LPA-VD. bb) La recourante 2 souligne pour sa part que la reconnaissance juridique d'un lien de filiation avec son père biologique entraînera l'obligation pour ce dernier de pourvoir à son entretien. Ici encore, il faut bien constater que cet élément ne constitue pas un fait nouveau dès lors que lors de la procédure initiale, la paternité de l'époux de AX.________ avait déjà été contestée par les recourantes. Certes, ce n'est que dans le cadre de la présente procédure que la recourante 1 a révélé l'identité du père présumé de sa fille. Cela étant, on ne saurait considérer que cet élément revête une force probatoire importante. Quand bien même le lien de filiation entre BX.________ et DX.________ pourrait être établi à l'issue de la procédure en désaveu de paternité pendante devant les autorités de justice civile, rien n'indique que celui-ci serait en mesure de pourvoir à l'entretien de sa fille de telle sorte qu'elle ne dépende plus du revenu d'insertion. En tous les cas, il ne ressort pas du dossier que DX.________ ait entrepris de contribuer matériellement sur une base volontaire à l'entretien de celle qu'il considère comme sa fille. b) Les recourantes se prévalent également de l'intensification des relations personnelles entre BX.________ et DX.________, lequel envisagerait à présent de reconnaître celle qu'il considère comme sa fille une fois la procédure en désaveu de paternité introduite devant les autorités de justice civile terminée. A supposer que ce fait soit nouveau, il n'est pas suffisamment étayé en l'état pour qu'il soit susceptible de conduire au réexamen de la décision du SPOP datée du 3 août 2010 et à présent entrée en force. De plus, on relèvera que dans leur demande de reconsidération du 23 mai 2011, les recourantes allèguent une intensification des relations de BX.________ avec son père biologique depuis la séparation de la recourante 1 et son mari. Or, cette séparation est intervenue en 2009. Cet élément devait dès lors être connu des recourantes lors de la procédure initiale si bien que celles-ci ne peuvent à présent justifier un réexamen de la décision précitée sur la base de l'art. 64 al. 2 let. b LPA-VD. De ce point de vue, l'autorité intimée était ainsi fondée à ne pas entrer en matière sur cette demande.</w:t>
      </w:r>
    </w:p>
    <w:p>
      <w:r>
        <w:rPr>
          <w:b/>
        </w:rPr>
        <w:t>E. 4</w:t>
      </w:r>
    </w:p>
    <w:p>
      <w:r>
        <w:t>Au vu des considérants qui précèdent, force est de constater que, comme l'a estimé à juste titre l'autorité intimée, il n'existe aucun élément nouveau, pertinent et inconnu de la recourante survenu depuis la décision du SPOP du 3 août 2010 justifiant d'entrer en matière sur sa demande de réexamen. C'est dès lors à juste titre que le SPOP a déclaré sa demande irrecevable et l'a subsidiairement rejetée. La décision attaquée doit donc être confirmée. Le recours, manifestement mal fondé, peut être rejeté sans autre mesure d'instruction ou échange d'écritures sur la base de l'art. 82 LPA-VD, aux frais de la recourante qui succombe et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