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PE.2011.0221 vom 15. Februar 2012</w:t>
      </w:r>
    </w:p>
    <w:p>
      <w:r>
        <w:t>VD Tribunal cantonal, 2012-02-15, FR</w:t>
      </w:r>
    </w:p>
    <w:p>
      <w:r>
        <w:rPr>
          <w:b/>
        </w:rPr>
        <w:t xml:space="preserve">Quelle: </w:t>
      </w:r>
      <w:r>
        <w:t>https://mcp.opencaselaw.ch/entscheid/vd_omni_PE.2011.0221</w:t>
      </w:r>
    </w:p>
    <w:p>
      <w:r>
        <w:t>FR: VD_OMNI PE.2011.0221 du 15 février 2012</w:t>
      </w:r>
    </w:p>
    <w:p>
      <w:r>
        <w:t>IT: VD_OMNI PE.2011.0221 del 15 febbraio 2012</w:t>
      </w:r>
    </w:p>
    <w:p>
      <w:pPr>
        <w:pStyle w:val="Heading2"/>
      </w:pPr>
      <w:r>
        <w:t>Regeste</w:t>
      </w:r>
    </w:p>
    <w:p>
      <w:r>
        <w:t>A. X.________, B. X.________, C. X.________/Département de l'économie | Révocation de l'autorisation d'établissement d'un ressortissant italien condamné à diverses reprises, la dernière fois en 2004, pour des infractions à la loi sur les stupéfiants et contre le patrimoine. Bien qu'il s'agisse en l'espèce d'un cas véritablement limite, le recourant ne présente pas, en l'état, une menace suffisamment grave pour justifier une mesure d'ordre public au sens de l'art. 5 annexe I ALCP: le risque de récidive paraît en effet être réduit de manière significative compte tenu du temps écoulé depuis les dernières infractions, des circonstances particulières entourant le cas du recourant, de l'introspection dont il a fait preuve, ainsi que de son amendement; à cela s'ajoute que son abstinence actuelle aux produits stupéfiants sera encore contrôlée tout au long du délai d'épreuve de trois ans fixé par la décision lui accordant la libération conditionnelle. La révocation de son autorisation d'établissement apparaît ainsi, à ce stade, prématurée et disproportionnée. Recours admis. Recours de l'Office fédéral des migrations admis. Révocation de l'autorisation d'établissement et renvoi confirmé (2C_238/2012).</w:t>
      </w:r>
    </w:p>
    <w:p>
      <w:pPr>
        <w:pStyle w:val="Heading2"/>
      </w:pPr>
      <w:r>
        <w:t>Erwägungen</w:t>
      </w:r>
    </w:p>
    <w:p>
      <w:r>
        <w:rPr>
          <w:b/>
        </w:rPr>
        <w:t>E. 1</w:t>
      </w:r>
    </w:p>
    <w:p>
      <w:r>
        <w:t>L'art. 14 al. 8 de l'ancien règlement d'exécution du 1 er mars 1949 de la loi fédérale sur le séjour et l'établissement des étrangers (RSSE; RO 1949 232; en vigueur jusqu'au 31 décembre 2007) prévoyait que l'autorisation d'un étranger placé dans un établissement pénitentiaire était considéré sans formalité comme restant en vigueur au moins jusqu'à sa libération. La teneur essentielle de cette disposition a été reprise à l'art. 70 al. 1 de l'ordonnance fédérale du 24 octobre 2007 relative à l'admission, au séjour et à l'exercice d'une activité lucrative (OASA; RS 142.201; en vigueur depuis le 1 er janvier 2008). L'art. 70 al. 2 OASA précise que les conditions de séjour doivent être une nouvelle fois fixées au plus tard au moment de la libération de l'étranger, conditionnelle ou non. Il sied enfin de préciser que la loi permet aux autorités de statuer sur les conditions de résidence (futures) d'un étranger avant sa sortie de prison (ATF 131 II 329 consid. 2.3 p. 334). En l'espèce, le délai de contrôle de l'autorisation d'établissement du recourant était fixé au 29 juin 1993, date à laquelle l'intéressé était incarcéré à Lonay. L'autorité intimée a révoqué ladite autorisation le 14 mai 2011, pour des motifs ayant trait à l'ordre et à la sécurité publics.</w:t>
      </w:r>
    </w:p>
    <w:p>
      <w:r>
        <w:rPr>
          <w:b/>
        </w:rPr>
        <w:t>E. 2</w:t>
      </w:r>
    </w:p>
    <w:p>
      <w:r>
        <w:t>a) Ressortissant italien,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ATF 2C_473/2011 du 17 octobre 2011 consid. 2.1). Aux termes de l'art. 63 al. 2 LEtr, l'autorisation d'établissement d'un étranger qui séjourne en Suisse légalement et sans interruption depuis plus de quinze ans peut être révoquée s'il attente de manière très grave à la sécurité et l'ordre publics en Suisse ou à l'étranger, les met en danger ou représente une menace pour la sécurité intérieure ou extérieure de la Suisse (art. 63 al. 1 let. b LEtr), s'il a été condamné à une peine privative de liberté de longue durée – soit dépassant un an d'emprisonnement (ATF 135 II 377 consid. 4.2 p. 380 s.) – ou a fait l'objet d'une mesure pénale prévue aux art. 64 ou 61 du code pénal (art. 62 let. b LEtr). b) A l'instar des autres droits conférés par l'ALCP, le droit de demeurer en Suisse pour y exercer une activité lucrative ne peut être limité que par des mesures d'ordre ou de sécurité publics, aux termes de l'art. 5 par. 1 annexe I ALCP, dont le cadre et les modalités sont définis par les trois directives citées – la plus importante étant la directive 64/221/CEE – , ainsi que par la jurisprudence y relative de la Cour de justice des Communautés européennes (ci-après: CJCE) (cf. art. 5 par. 2 annexe I ALCP en lien avec l'art. 16 al. 2 ALCP; ATF 2C_486/2011 du 13 décembre 2011 consid. 2). Conformément à la jurisprudence de la CJCE, les limites posées au principe de la libre circulation des personnes doivent s'interpréter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p. 182; 129 II 215 consid. 7.3 p. 222 et les arrêts cités de la CJCE; ATF 2C_547/2010 du 10 décembre 2010 consid. 3). Les mesures d'ordre public ou de sécurité publique doivent être fondées exclusivement sur le comportement personnel de l'individu qui en fait l'objet (art. 3 par. 1 de la directive 64/221/CEE); partant, des motifs de prévention générale détachés du cas individuel ne sauraient les justifier (ATF 130 II 176 consid. 3.4.1 p. 183; 129 II 215 consid. 7.1 p. 221; arrêt CJCE du 28 février 1975 Bonsignore, Rec. 1975 p. 297 pts 6 et 7). Selon l'art. 3 par. 2 de la directive 64/221/CEE, la seule existence de condamnations pénales ne peut automatiquement motiver de telles mesures. Tout automatisme qui reviendrait à prononcer une mesure d'éloignement du pays à la suite d'une condamnation pénale sans véritablement tenir compte du comportement personnel de l'auteur de l'infraction, ni du danger qu'il représente pour l'ordre public est proscrit (arrêt CJCE C-482/01 du 29 avril 2004 Orfanopoulos, pts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130 II 176 consid. 3.4.1 p. 183 s. et les arrêts cités de la CJCE; 129 II 215 consid. 7.4 p. 222; cf. également ATF 134 II 10 consid. 4.3 p. 24 qui souligne le " rôle déterminant " du risque de récidive). Selon les circonstances, la jurisprudence admet néanmoins que le seul fait du comportement passé de la personne concernée puisse réunir les conditions de pareille menace actuelle (ATF 130 II 176 consid. 3.4.1 p. 183 s. et l'arrêt cité de la CJCE du 27 octobre 1977 C-30/77 Bouchereau, Rec. 1977 p. 1999 ch.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Il sied à cet égard de préciser qu'en règle générale, une personne porte atteinte "de manière très grave" à la sécurité et à l'ordre publics – le Tribunal fédéral se montrant particulièrement rigoureux en suivant en cela la pratique de la Cour européenne des droits de l'homme – lorsque les actes lèsent ou compromettent des biens juridiques particulièrement importants comme l'intégrité corporelle, physique ou sexuelle (ATF 137 II 297 consid. 3.3 p. 303; 2C_506/2011 du 13 décembre 2011 consid. 4.2.1). L'évaluation du risque de récidive sera d'autant plus rigoureuse que le bien juridique menacé est important (ATF 136 II 5 consid. 4.2 p. 20; 130 II 176 consid. 4.3.1 p. 185 s.). En outre, comme lorsqu'il s'agit d'examiner la conformité d'une mesure d'éloignement prise à l'encontre de n'importe quel autre étranger, cette appréciation se fera dans le cadre des garanties découlant de la Convention du</w:t>
      </w:r>
    </w:p>
    <w:p>
      <w:r>
        <w:rPr>
          <w:b/>
        </w:rPr>
        <w:t>E. 4</w:t>
      </w:r>
    </w:p>
    <w:p>
      <w:r>
        <w:t>Les considérants qui précèdent conduisent à l'admission du recours et à l'annulation de la décision attaquée. Les frais sont laissés à charge de l'Etat (art. 49 de la loi vaudoise du 28 octobre 2008 sur la procédure administrative [LPA-VD; RSV 173.36]). Mis au bénéfice de l'assistance judiciaire le 25 juillet 2011, les recourants ont toutefois droit, vu l'issue de la procédure, à l'allocation de dépens,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