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PE.2011.0178 vom 7. Juli 2011</w:t>
      </w:r>
    </w:p>
    <w:p>
      <w:r>
        <w:t>VD Tribunal cantonal, 2011-07-07, FR</w:t>
      </w:r>
    </w:p>
    <w:p>
      <w:r>
        <w:rPr>
          <w:b/>
        </w:rPr>
        <w:t xml:space="preserve">Quelle: </w:t>
      </w:r>
      <w:r>
        <w:t>https://mcp.opencaselaw.ch/entscheid/vd_omni_PE.2011.0178</w:t>
      </w:r>
    </w:p>
    <w:p>
      <w:r>
        <w:t>FR: VD_OMNI PE.2011.0178 du 7 juillet 2011</w:t>
      </w:r>
    </w:p>
    <w:p>
      <w:r>
        <w:t>IT: VD_OMNI PE.2011.0178 del 7 luglio 2011</w:t>
      </w:r>
    </w:p>
    <w:p>
      <w:pPr>
        <w:pStyle w:val="Heading2"/>
      </w:pPr>
      <w:r>
        <w:t>Regeste</w:t>
      </w:r>
    </w:p>
    <w:p>
      <w:r>
        <w:t>A. X.________ Y.________/Service de la population (SPOP) | Confirmation du refus de délivrer une autorisation de séjour à une ressortissante équatorienne et à son fils de six ans; pas de cas de rigueur (recourante âgée de 26 ans ayant quitté son pays d'origine à 22 ans, pas d'attaches en Suisse, emplois peu qualifiés, réintégration qui ne semble guère compromise; la recourante ne se prévaut pas de circonstances particulières qui l'exposeraient à un danger quelconque en cas de retour dans son pays d'origine). Recours rejeté.</w:t>
      </w:r>
    </w:p>
    <w:p>
      <w:pPr>
        <w:pStyle w:val="Heading2"/>
      </w:pPr>
      <w:r>
        <w:t>Erwägungen</w:t>
      </w:r>
    </w:p>
    <w:p>
      <w:r>
        <w:rPr>
          <w:b/>
        </w:rPr>
        <w:t>E. 1</w:t>
      </w:r>
    </w:p>
    <w:p>
      <w:r>
        <w:t>La recourante requiert que l'effet suspensif soit octroyé à son recours et que des mesures provisionnelles soient ordonnées, son dossier n'étant pas transmis à l'ODM. En l'espèce, l'effet suspensif automatiquement attribué au recours (art. 80 al. 1 et 99 LPA-VD) n'ayant pas été levé par le juge instructeur, ces requêtes sont sans objet.</w:t>
      </w:r>
    </w:p>
    <w:p>
      <w:r>
        <w:rPr>
          <w:b/>
        </w:rPr>
        <w:t>E. 2</w:t>
      </w:r>
    </w:p>
    <w:p>
      <w:r>
        <w:t>La recourante considère que son droit d'être entendue par l'autorité intimée n'a pas été respecté. Elle requiert en outre la tenue d'une audience afin qu'elle et son fils puissent être entendus par le tribunal. a) Les parties ont le droit d'être entendues (art. 29 al. 2 de la Constitution fédérale de la Confédération suisse du 18 avril 1999 [Cst.; RS 101] et 27 al. 2 de la Constitution du Canton de Vaud du 14 avril 2003 [Cst-VD; RSV 101.01]; art. 33 al. 1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Il s'agit d'un droit de nature formelle dont la violation impose l'annulation de la décision attaquée, sans qu'il y ait lieu d'examiner les griefs soulevés par le recourant sur le fond (ATF 124 I 49 consid. 3a; 118 Ia 104 consid. 3).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l'espèce, l'autorité intimée a informé la recourante du contenu de la décision qu'elle entendait adopter, ainsi que des motifs de celle-ci, lui offrant la possibilité de déposer ses observations et objections, ce dont la recourante a fait usage. A cette occasion, cette dernière a également produit de nombreuses pièces. Son droit d'être entendue, et plus précisément de s'exprimer sur les points pertinents de la décision avant l'adoption de celle-ci, a donc été respecté par l'autorité intimée et ce grief doit être rejeté. Il doit en aller de même de la requête de la recourante tendant à la tenue d'une audience. En effet, compte tenu des pièces figurant au dossier, le tribunal s'estime suffisamment renseigné et renonce à procéder à une audience. En outre, la recourante a pu s'exprimer quant au contenu de la décision dans son mémoire de recours et a pu à cette occasion produire les éventuelles pièces supplémentaires qu'elle aurait jugées utiles.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128 II 145 consid. 1.1.1 p. 148, et les arrêts cités). En l’espèce, la recourante, ressortissante d'Equateur, ne peut se prévaloir en particulier d’aucun traité international lui conférant un droit au séjour en Suisse.</w:t>
      </w:r>
    </w:p>
    <w:p>
      <w:r>
        <w:rPr>
          <w:b/>
        </w:rPr>
        <w:t>E. 4</w:t>
      </w:r>
    </w:p>
    <w:p>
      <w:r>
        <w:t>a) Un étranger peut, selon les circonstances, se prévaloir de l'art. 8 par. 1 de la Convention du 4 novembre 1950 de sauvegarde des droits de l’homme et des libertés fondamentales (CEDH; RS 0.101),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familiale consacré à l'art.</w:t>
      </w:r>
    </w:p>
    <w:p>
      <w:r>
        <w:rPr>
          <w:b/>
        </w:rPr>
        <w:t>E. 8</w:t>
      </w:r>
    </w:p>
    <w:p>
      <w:r>
        <w:t>par. 1 CEDH ne peut être invoqué que si une mesure étatique d'éloignement aboutit à la séparation des membres d'une famille (ATF 135 I 153 consid. 2.1 p. 155; 130 II 281 consid. 3.1 p. 286). b) En l'espèce, la recourante ne se prévaut, à juste titre, ni d'une relation avec une personne de sa famille ayant le droit de résider durablement en Suisse, ni de liens particulièrement étroits avec la Suisse en raison d'une très longue durée de séjour dans ce pays. Partant, l'art. 8 CEDH n'est pas applicable. 5. La recourante invoque qu'elle et son fils se trouvent dans une "situation de détresse". a) Selon l'art. 30 al. 1 let. b de la fédérale du 16 décembre 2005 sur les étrangers (LEtr; RS 142.20),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b) Pour interpréter la notion de "cas d'extrême gravité", on peut se référer à la jurisprudence développée sous l’empire de l’ancien art. 13 let. f de l’ordonnance fédérale du 6 octobre 1986 limitant le nombre des étrangers (aOLE),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p. 113). c) En l'occurrence, la recourante est arrivée illégalement en Suisse au mois d'août 2007, ce qui porte la durée de son séjour en Suisse à un peu moins de quatre ans; une telle durée ne peut manifestement pas être considérée comme très longue. En outre, ce séjour a toujours été illégal, la recourante n'ayant jamais bénéficié d'une quelconque autorisation de séjour en Suisse. Il en résulte qu’au regard de la jurisprudence mentionnée ci-dessus, les années passées en Suisse de 2007 à février 2011 (date de l'annonce aux autorités en vue de l'obtention d'une autorisation de séjour) ne sauraient être prises en considération dans l’appréciation de l’existence d’un cas de rigueur personnelle. Il faut par ailleurs constater que la recourante a résidé dans son pays d'origine jusqu'en 2007, soit jusqu'à l'âge de 22 ans, de sorte que c'est dans ce pays qu'elle a développé au cours de son enfance, de son adolescence et d'une partie de sa vie d'adulte ses attaches culturelles et sociales essentielles, même si les éléments au dossier ne permettent pas d’établir si et dans quelle mesure elle y a encore de la famille. En outre, elle n'a aucune famille en Suisse hormis son fils dont elle ne sera pas séparée, et ne peut dès lors se prévaloir d'attaches particulièrement étroites avec la Suisse. Certes, elle paraît avoir occupé divers postes en qualité d'aide à domicile ou d'aide familiale (garde d'enfants), n'a jamais fait l'objet de poursuites ni n'a eu recours à l'aide sociale. Ces éléments ne témoignent cependant pas d'une intégration particulièrement réussie; les postes qu'elle a occupés ne constituent pas un travail particulièrement qualifié et l'on ne saurait considérer que la recourante a accompli en Suisse une ascension professionnelle particulièrement remarquable ou qu'elle y a acquis, dans l'exercice de son activité professionnelle, des connaissances et des qualifications à ce point spécifiques qu'il ne lui serait pas possible de les mettre à profit ailleurs qu'en Suisse, notamment dans son pays d'origine (cf. ATAF C-491/2008 du 9 février 2009). A cela s'ajoute que la réintégration sociale de la recourante en Equateur, qu'elle a quitté il y a quatre ans à l'âge de 22 ans, ne semble guère compromise . La recourante ne se prévaut d'ailleurs pas de circonstances particulières qui l'exposeraient à un danger quelconque en cas de retour dans son pays d'origine. La situation n'est pas différente s'agissant du fils de la recourante, âgé de six ans. Celui-ci est certes scolarisé en Suisse, y a appris le français et y a des camarades. La durée de sa scolarisation en Suisse - deux ans de cycle initial - n'est cependant pas longue et ne saurait faire obstacle à sa réintégration dans son pays d'origine, surtout à un si jeune âge. Il ressort des éléments qui précèdent que la recourante et son fils ne se trouvent pas dans un cas individuel d’extrême gravité, qui imposerait la poursuite de leur séjour en Suisse. 6. Pour le surplus, il n'est pas nécessaire d'examiner les griefs que la recourante soulève à l'égard de l'interdiction d'entrée que pourrait prononcer l'ODM à son encontre. Ces griefs sont en effet irrecevables, ce point ne faisant pas l'objet de la décision attaquée. 7. Il résulte des considérants qui précèdent que le recours, manifestement mal fondé, doit être rejeté selon la procédure simplifiée régie par l'art. 82 de la loi du 28 octobre 2008 sur la procédure administrative (LPA-VD; RSV 173.36) et la décision attaquée, confirmée.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