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PE.2011.0163 vom 24. Juni 2011</w:t>
      </w:r>
    </w:p>
    <w:p>
      <w:r>
        <w:t>VD Tribunal cantonal, 2011-06-24, FR</w:t>
      </w:r>
    </w:p>
    <w:p>
      <w:r>
        <w:rPr>
          <w:b/>
        </w:rPr>
        <w:t xml:space="preserve">Quelle: </w:t>
      </w:r>
      <w:r>
        <w:t>https://mcp.opencaselaw.ch/entscheid/vd_omni_PE.2011.0163</w:t>
      </w:r>
    </w:p>
    <w:p>
      <w:r>
        <w:t>FR: VD_OMNI PE.2011.0163 du 24 juin 2011</w:t>
      </w:r>
    </w:p>
    <w:p>
      <w:r>
        <w:t>IT: VD_OMNI PE.2011.0163 del 24 giugno 2011</w:t>
      </w:r>
    </w:p>
    <w:p>
      <w:pPr>
        <w:pStyle w:val="Heading2"/>
      </w:pPr>
      <w:r>
        <w:t>Regeste</w:t>
      </w:r>
    </w:p>
    <w:p>
      <w:r>
        <w:t>A.X.________ c/Service de la population (SPOP) | Confirmation de la décision de renvoi du recourant, ressortissant du Kosovo (ex-Serbie-et-Monténégro), qui séjourne illégalement en Suisse depuis plus de trois ans et qui s'est vu refuser la délivrance d'une autorisation de séjour. Recours au TF manifestement irrecevable (2C_596/2011 du 22 juillet 2011).</w:t>
      </w:r>
    </w:p>
    <w:p>
      <w:pPr>
        <w:pStyle w:val="Heading2"/>
      </w:pPr>
      <w:r>
        <w:t>Erwägungen</w:t>
      </w:r>
    </w:p>
    <w:p>
      <w:r>
        <w:rPr>
          <w:b/>
        </w:rPr>
        <w:t>E. 1</w:t>
      </w:r>
    </w:p>
    <w:p>
      <w:r>
        <w:t>La décision attaquée prononce le renvoi du recourant. a) Aux termes de l'art. 64 al. 1 de la loi fédérale du 16 décembre 2005 sur les étrangers (LEtr; RS 142.20) dans sa teneur en vigueur depuis le 1 er janvier 2011,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Conformément à l'al. 3, le délai pour déposer un recours contre la décision visée à l'al. 1 let. a et b est de cinq jours; le recours n'a pas d'effet suspensif, l'autorité de recours ayant cependant la possibilité de le restituer. Lorsqu'une personne est entrée illégalement en Suisse, la décision de renvoi lui est notifiée au moyen d'un formulaire type (art. 64b LEtr).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 (art. 64d al. 1 LEtr). Le renvoi peut être immédiatement exécutoire ou un délai de départ inférieur à sept jours peut être fixé dans les cas prévus à l'art. 64d al. 2 LEtr. En cas d'exécution immédiate d'une décision de renvoi ou lorsque la personne concernée ne s'acquitte pas de son obligation de départ, une interdiction d'entrée est prononcée par l'ODM (art. 67 al. 1 LEtr); pour des raisons humanitaires ou pour d'autres motifs importants, l'ODM peut s'abstenir de prononcer une interdiction d'entrée ou suspendre provisoirement ou définitivement une interdiction d'entrée (art. 67 al. 5 LEtr). Une telle interdiction peut en outre être prononcée notamment lorsque l'étranger a attenté à la sécurité et à l'ordre public en Suisse ou à l'étranger ou les a mis en danger (art. 67 al. 2 let. a LEtr). Enfin, l'autorité compétente peut reporter l'exécution du renvoi ou de l'expulsion pour une période appropriée lorsque des circonstances particulières le justifient (problèmes de santé, absence de moyen de transport, etc.; art. 69 al. 3 LEtr). b) Ces nouvelles dispositions résultent de l'approbation et de la mise en œuvre de l'échange de notes entre la Suisse et la Communauté européenne concernant la reprise de la directive CE sur le retour (directive 2008/115/CE). Selon le Message du Conseil fédéral du 18 novembre 2009 sur l'approbation et la mise en œuvre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ci-après: Message), cette directive s'applique aux ressortissants de pays tiers en séjour irrégulier dans un Etat Schengen. Elle entraîne notamment le remplacement du renvoi sans décision formelle visé à l'ancien art. 64 LEtr par une procédure de renvoi formelle, à savoir par un renvoi notifié au moyen d'un formulaire type. Aucune exigence particulière de forme ne s'applique à ce dernier; en revanche, il doit indiquer les motifs de fait et de droit et comporter des informations relatives aux voies de recours disponibles (Message, p. 8054). Les motifs conduisant à la prise d'une décision de renvoi, définis à l'al. 1 let. a et b, n'ont pas été modifiés par rapport à l'ancien droit; l'al. 1 let. c correspond aux motifs de renvoi définis à l'ancien art. 66 LEtr, abrogé avec effet au 1 er janvier 2011, en application duquel était déjà rendue une décision formelle de renvoi (Message, p. 8051 s.). Le report d'un renvoi ou d'une expulsion visé par l'art. 69 al. 3 LEtr doit être différencié de la décision d'admission provisoire prévue par l'art. 83 LEtr; il ne fait que repousser la date prévue pour le départ jusqu'à ce que les obstacles à l'exécution du renvoi ou de l'expulsion soient écartés. En revanche, les obstacles fondamentaux à l'exécution du renvoi ou de l'expulsion sont examinés dès la procédure de renvoi et peuvent également être invoqués dans le cadre d'un recours contre la décision de renvoi (Message, p. 8058). c) En l'espèce, le recourant, ressortissant d'un Etat non-membre de Schengen, s'est vu refuser, par une décision entrée en force, la délivrance d'une autorisation de séjour en Suisse; il a également fait ultérieurement l'objet d'un prononcé préfectoral le condamnant notamment pour entrée et séjour illégaux. Enfin, il ne prétend pas séjourner légalement en Suisse ou bénéficier d'un titre de séjour valable délivré par un autre Etat Schengen. L'autorité intimée était par conséquent fondée au regard de l'art. 64 al. 1 LEtr à rendre à son encontre une décision formelle de renvoi. On relève au passage que la décision attaquée impartit au recourant un délai de trois mois pour quitter la Suisse, soit un délai long, tenant compte de la durée de son séjour - on le rappelle, illicite - en Suisse. Pour le surplus, le recourant ne se prévaut pas du principe de non-refoulement consacré notamment par l'art. 3 de la Convention du 4 novembre 1950 de sauvegarde des droits de l’homme et des libertés fondamentales (CEDH; RS 0.101) ni n'invoque l'art. 83 LEtr pour s'opposer à l'exécution du renvoi pour le motif que celle-ci ne serait pas possible, ne serait pas licite ou ne pourrait être raisonnablement exigée. Au demeurant, rien dans le dossier ne permet d'affirmer que le recourant serait soumis à des traitements inhumains en cas de retour dans son pays d'origine, où vivent d'ailleurs son épouse et leur fille.</w:t>
      </w:r>
    </w:p>
    <w:p>
      <w:r>
        <w:rPr>
          <w:b/>
        </w:rPr>
        <w:t>E. 2</w:t>
      </w:r>
    </w:p>
    <w:p>
      <w:r>
        <w:t>Il résulte de ce qui précède que le recours doit être rejeté et la décision attaquée, confirmée. Le recourant, qui succombe, supporte les frais de justice. Il n'y a pas lieu d'allouer de dépens (art. 49, 55, 91 et 99 de la loi du 28 octobre 2008 sur la procédure administrative [ LPA-VD; RSV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