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PE.2011.0145 vom 2. August 2011</w:t>
      </w:r>
    </w:p>
    <w:p>
      <w:r>
        <w:t>VD Tribunal cantonal, 2011-08-02, FR</w:t>
      </w:r>
    </w:p>
    <w:p>
      <w:r>
        <w:rPr>
          <w:b/>
        </w:rPr>
        <w:t xml:space="preserve">Quelle: </w:t>
      </w:r>
      <w:r>
        <w:t>https://mcp.opencaselaw.ch/entscheid/vd_omni_PE.2011.0145</w:t>
      </w:r>
    </w:p>
    <w:p>
      <w:r>
        <w:t>FR: VD_OMNI PE.2011.0145 du 2 août 2011</w:t>
      </w:r>
    </w:p>
    <w:p>
      <w:r>
        <w:t>IT: VD_OMNI PE.2011.0145 del 2 agosto 2011</w:t>
      </w:r>
    </w:p>
    <w:p>
      <w:pPr>
        <w:pStyle w:val="Heading2"/>
      </w:pPr>
      <w:r>
        <w:t>Regeste</w:t>
      </w:r>
    </w:p>
    <w:p>
      <w:r>
        <w:t>A. X.________ Y.________/Service de la population (SPOP) | Requérante d'asile déboutée, attribuée au canton d'Argovie, et qui souhaite épouser un étranger titulaire d'un permis d'établissement. Rejet de cette requête au regard de l'art. 14 al. 1 LAsi et du principe d'exclusivité de la procédure d'asile. Le mariage n'est pas imminent, la relation entre les fiancés, d'une durée de 2 ans, n'est pas déterminante et l'on ne se trouve pas dans un cas de rigueur. Un droit au mariage et au séjour ne peut être déduit des art. 8 et 12 CEDH.</w:t>
      </w:r>
    </w:p>
    <w:p>
      <w:pPr>
        <w:pStyle w:val="Heading2"/>
      </w:pPr>
      <w:r>
        <w:t>Erwägungen</w:t>
      </w:r>
    </w:p>
    <w:p>
      <w:r>
        <w:rPr>
          <w:b/>
        </w:rPr>
        <w:t>E. 1</w:t>
      </w:r>
    </w:p>
    <w:p>
      <w:r>
        <w:t>a) Selon l'art. 14 al. 1 de la loi fédérale du 26 juin 1998 sur l’asile (LAsi ; RS 142.31),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Toutefois, sous réserve de l'approbation de l’ODM, le canton peut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(cf. art. 14 al. 2 LAsi). Lorsqu'il entend faire usage de cette possibilité, le canton le signale immédiatement à l'ODM (art. 14 al. 3 LAsi). La personne concernée n'a qualité de partie que dans la procédure d'approbation de l'Office (art. 14 al.</w:t>
      </w:r>
    </w:p>
    <w:p>
      <w:r>
        <w:rPr>
          <w:b/>
        </w:rPr>
        <w:t>E. 4</w:t>
      </w:r>
    </w:p>
    <w:p>
      <w:r>
        <w:t>Au vu des considérants qui précèdent, le recours doit être rejeté et la décision attaquée confirmée. Les frais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