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PE.2011.0070 vom 27. Juni 2011</w:t>
      </w:r>
    </w:p>
    <w:p>
      <w:r>
        <w:t>VD Tribunal cantonal, 2011-06-27, FR</w:t>
      </w:r>
    </w:p>
    <w:p>
      <w:r>
        <w:rPr>
          <w:b/>
        </w:rPr>
        <w:t xml:space="preserve">Quelle: </w:t>
      </w:r>
      <w:r>
        <w:t>https://mcp.opencaselaw.ch/entscheid/vd_omni_PE.2011.0070</w:t>
      </w:r>
    </w:p>
    <w:p>
      <w:r>
        <w:t>FR: VD_OMNI PE.2011.0070 du 27 juin 2011</w:t>
      </w:r>
    </w:p>
    <w:p>
      <w:r>
        <w:t>IT: VD_OMNI PE.2011.0070 del 27 giugno 2011</w:t>
      </w:r>
    </w:p>
    <w:p>
      <w:pPr>
        <w:pStyle w:val="Heading2"/>
      </w:pPr>
      <w:r>
        <w:t>Regeste</w:t>
      </w:r>
    </w:p>
    <w:p>
      <w:r>
        <w:t>A. X.________, B. X.________, C. X.________, D. X.________, E. X.________, F. X.________, G. X.________/Service de la population (SPOP) | Demande de transformation d'un permis F (admission provisoire) en permis B (autorisation de séjour). La famille recourante est certes financièrement assistée par l'EVAM depuis plusieurs années. Il convient toutefois de tenir compte de la situation particulière du père de famille (57 ans), amené à parer aux difficultés rencontrées par son épouse (invalide à 100%) et à prendre en charge l'éducation des quatre plus jeunes enfants, dont l'un considérablement atteint dans sa santé. Les recourants séjournent enfin en Suisse depuis de nombreuses années. Recours admis, la situation relevant d'un cas d'extrême gravité.</w:t>
      </w:r>
    </w:p>
    <w:p>
      <w:pPr>
        <w:pStyle w:val="Heading2"/>
      </w:pPr>
      <w:r>
        <w:t>Erwägungen</w:t>
      </w:r>
    </w:p>
    <w:p>
      <w:r>
        <w:rPr>
          <w:b/>
        </w:rPr>
        <w:t>E. 1</w:t>
      </w:r>
    </w:p>
    <w:p>
      <w:r>
        <w:t>a) Aux termes de l'art. 84 al. 5 LEtr, les demandes d’autorisation de séjour présentées par un étranger admis provisoirement et résidant en Suisse depuis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convient de se fonder sur les mêmes critères que ceux qui peuvent conduire à la reconnaissance d'un cas d'extrême gravité au sens des art. 30 al. 1 let. b LEtr et 31 de l'ordonnance du 24 octobre 2007 relative à l’admission, au séjour et à l’exercice d’une activité lucrative (OASA; RS 142.201; arrêts PE.2010.0141 du 15 mars 2011 consid. 1; PE.2009.0601 du 28 février 2011 consid. 2a; PE.2010.0169 du 19 novembre 2010 consid. 1a). En effet, selon le Tribunal fédéral, l'art. 84 al. 5 LEtr ne constitue pas un fondement juridique indépendant permettant l'octroi d'une autorisation de séjour, laquelle est décernée, en pareil cas, en application de l'art. 30 LEtr (ATF 2C_766/2009 du 26 mai 2010 consid. 4). b) L'art. 30 al. 1 LEtr prévoit qu'il est possible de déroger aux conditions d’admission (art. 18 à 29) notamment afin de tenir compte des cas individuels d’une extrême gravité ou d’intérêts publics majeurs (let. b). Cette hypothèse est précisée par l'art. 31 al. 1 de l'ordonnance OASA dont la teneur est la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(al. 1 let. d). L'art. 30 al. 1 let. b LEtr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considérations de politique générale. Quant à l'art. 36 OLE, il prévoyait la délivrance d'une autorisation de séjour pour des étrangers n'exerçant pas une activité lucrative lorsque des raisons importantes l'exigeaient et les critères dégagés par la jurisprudence dans le cadre de l'art. 13 let. f OLE s'appliquaient par analogie (cf. PE.2006.0447 du 14 décembre 2007). On peut dès lors se référer à la jurisprudence relative à l'art. 13 let. f OLE pour appliquer l'art. 30 al. 1 let. b LEtr (Message du Conseil fédéral, FF 2002 III 3469, spéc. p. 3543).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lui, de graves conséquences. Lors de l'appréciation d'un cas personnel d'extrême gravité,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3 p. 42; 128 II 200 consid. 4 p. 207 s.). D es motifs médicaux peuvent, selon les circonstances, conduire à la reconnaissance d'un cas de rigueur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 ATF 130 II 39 consid.</w:t>
      </w:r>
    </w:p>
    <w:p>
      <w:r>
        <w:rPr>
          <w:b/>
        </w:rPr>
        <w:t>E. 3</w:t>
      </w:r>
    </w:p>
    <w:p>
      <w:r>
        <w:t>Il résulte des considérants qui précèdent que le recours doit être admis et la décision attaquée annulée, le dossier de la cause étant renvoyé au SPOP afin qu'il prenne une nouvelle décision permettant le transfert des dossiers des recourants à l'ODM en application des art. 30 al. 1 let. b LEtr et 31 al. 1 OASA. Il est statué sans frais (art. 49 et 52 de la loi vaudoise du 28 octobre 2008 sur la procédure administrative [LPA-VD; RSV 173.36]). Obtenant gain de cause et ayant procédé par l’intermédiaire du SAJE, les recourants ont droit à des dépens (art. 55 al. 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