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PE.2010.0624 vom 13. April 2011</w:t>
      </w:r>
    </w:p>
    <w:p>
      <w:r>
        <w:t>VD Tribunal cantonal, 2011-04-13, FR</w:t>
      </w:r>
    </w:p>
    <w:p>
      <w:r>
        <w:rPr>
          <w:b/>
        </w:rPr>
        <w:t xml:space="preserve">Quelle: </w:t>
      </w:r>
      <w:r>
        <w:t>https://mcp.opencaselaw.ch/entscheid/vd_omni_PE.2010.0624</w:t>
      </w:r>
    </w:p>
    <w:p>
      <w:r>
        <w:t>FR: VD_OMNI PE.2010.0624 du 13 avril 2011</w:t>
      </w:r>
    </w:p>
    <w:p>
      <w:r>
        <w:t>IT: VD_OMNI PE.2010.0624 del 13 aprile 2011</w:t>
      </w:r>
    </w:p>
    <w:p>
      <w:pPr>
        <w:pStyle w:val="Heading2"/>
      </w:pPr>
      <w:r>
        <w:t>Regeste</w:t>
      </w:r>
    </w:p>
    <w:p>
      <w:r>
        <w:t>A.X._____________, B. X._____________, C. X._____________, D.X._____________/Service de la population (SPOP) | Une période d'un an durant laquelle le requérant a exercé un emploi s'avère insuffisante pour se prononcer définitivement sur l'évolution probable de l'autonomie financière d'une famille qui a bénéficié de l'assistance publique sans discontinuer durant onze ans et qui a accumulé une dette de plus de 200'000 fr. envers la collectivité. Refus d'entrer en matière sur la transformation d'un permis F en permis B confirmé.</w:t>
      </w:r>
    </w:p>
    <w:p>
      <w:pPr>
        <w:pStyle w:val="Heading2"/>
      </w:pPr>
      <w:r>
        <w:t>Erwägungen</w:t>
      </w:r>
    </w:p>
    <w:p>
      <w:r>
        <w:rPr>
          <w:b/>
        </w:rPr>
        <w:t>E. 1</w:t>
      </w:r>
    </w:p>
    <w:p>
      <w:r>
        <w:t>let. d). c) L es conditions auxquelles la reconnaissance d'un cas de rigueur est soumise doivent être appréciées restrictivement. II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D'un autre côté, le fait que l'étranger ait séjourné en Suisse pendant une assez longue période, qu'il s'y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 ATF 124 II 110 consid.</w:t>
      </w:r>
    </w:p>
    <w:p>
      <w:r>
        <w:rPr>
          <w:b/>
        </w:rPr>
        <w:t>E. 2</w:t>
      </w:r>
    </w:p>
    <w:p>
      <w:r>
        <w:t>p. 112). A cet égard, les relations de travail, d'amitié ou de voisinage que le requérant a pu nouer pendant son séjour ne constituent normalement pas des liens si étroits avec la Suisse qu'ils justifieraient une exemption des mesures de limitation du nombre des étrangers ( ATF 130 II 39 consid.</w:t>
      </w:r>
    </w:p>
    <w:p>
      <w:r>
        <w:rPr>
          <w:b/>
        </w:rPr>
        <w:t>E. 3</w:t>
      </w:r>
    </w:p>
    <w:p>
      <w:r>
        <w:t>Les considérants qui précèdent conduisent par conséquent au rejet du recours et à la confirmation de la décision attaquée. Le sort du recours commande que les frais soient mis à la charge des recourants (art. 52 al. 1 et 49 al. 1 de la loi du 28 octobre 2008 sur la procédure administrative – LPA-VD, RSV 173.36). En outre, l’allocation de dépens n’entre pas en ligne de compte (art. 55 al. 1, a contrario,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