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PE.2010.0586 vom 19. Oktober 2011</w:t>
      </w:r>
    </w:p>
    <w:p>
      <w:r>
        <w:t>VD Tribunal cantonal, 2011-10-19, FR</w:t>
      </w:r>
    </w:p>
    <w:p>
      <w:r>
        <w:rPr>
          <w:b/>
        </w:rPr>
        <w:t xml:space="preserve">Quelle: </w:t>
      </w:r>
      <w:r>
        <w:t>https://mcp.opencaselaw.ch/entscheid/vd_omni_PE.2010.0586</w:t>
      </w:r>
    </w:p>
    <w:p>
      <w:r>
        <w:t>FR: VD_OMNI PE.2010.0586 du 19 octobre 2011</w:t>
      </w:r>
    </w:p>
    <w:p>
      <w:r>
        <w:t>IT: VD_OMNI PE.2010.0586 del 19 ottobre 2011</w:t>
      </w:r>
    </w:p>
    <w:p>
      <w:pPr>
        <w:pStyle w:val="Heading2"/>
      </w:pPr>
      <w:r>
        <w:t>Regeste</w:t>
      </w:r>
    </w:p>
    <w:p>
      <w:r>
        <w:t>X.___________ c/Service de l'emploi, Service de la population (SPOP) | Rejet par le SDE de la demande d'un ressortissant de la République de Serbie de prendre un emploi comme directeur commercial - salarié - d'une sàrl active dans le domaine de la construction. Recours rejeté mais frais laissés à la charge de l'Etat: - Le recourant étant ressortissant de la République de Serbie, il ne saurait se prévaloir de l'ALCP (consid. 3). - C'est à juste titre que le recourant se plaint de ce que la décision de refus n'est pas suffisamment motivée. Toutefois, dès lors que, dans le cadre de la présente procédure, l'autorité intimée a précisé les motifs de son refus, que le juge instructeur a, dans une lettre au recourant, précisé à celui-ci différents points, et que le recourant a eu la faculté de répliquer et de déposer un mémoire complémentaire, on peut considérer qu'une éventuelle violation du droit d'être entendu est réparée (consid. 4). - La sàrl n'a pas effectué les démarches requises pour tenter de recruter un travailleur indigène ou un ressortissant d'un pays de l'UE afin d'occuper le poste (consid. 5e). - Le recourant ne dispose pas de qualifications particulières au sens de l'art. 23 LEtr et du ch. 4.2.4 des Directives ODM (consid. 5f).</w:t>
      </w:r>
    </w:p>
    <w:p>
      <w:pPr>
        <w:pStyle w:val="Heading2"/>
      </w:pPr>
      <w:r>
        <w:t>Erwägungen</w:t>
      </w:r>
    </w:p>
    <w:p>
      <w:r>
        <w:rPr>
          <w:b/>
        </w:rPr>
        <w:t>E. 1</w:t>
      </w:r>
    </w:p>
    <w:p>
      <w:r>
        <w:t>Aux termes de l’art. 92 de la loi du 28 octobre 2008 sur la procédure administrative (LPA;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SDE. Déposé en temps utile, selon les formes prescrites par la loi, le recours est formellement recevable, de sorte qu'il y a lieu d'entrer en matière sur le fond.</w:t>
      </w:r>
    </w:p>
    <w:p>
      <w:r>
        <w:rPr>
          <w:b/>
        </w:rPr>
        <w:t>E. 2</w:t>
      </w:r>
    </w:p>
    <w:p>
      <w:r>
        <w:t>Est litigieuse en l'espèce la question de savoir c'est à juste titre que l'autorité intimée a refusé d'octroyer une autorisation de séjour en vue de l'exercice d'une activité salariée au recourant, ressortissant serbe.</w:t>
      </w:r>
    </w:p>
    <w:p>
      <w:r>
        <w:rPr>
          <w:b/>
        </w:rPr>
        <w:t>E. 3</w:t>
      </w:r>
    </w:p>
    <w:p>
      <w:r>
        <w:t>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 des ressortissants » des Etats membres de la Communauté européenne et de la Suisse un droit de séjour, d’entrée, d’accès à une activité économique salariée, d’établissement en tant qu’indépendant et le droit de demeurer sur le territoire des parties contractantes (let a). Le recourant étant ressortissant de la République de Serbie, soit d'un Etat tiers, il ne saurait se prévaloir de l’ALCP. Le fait d'être, comme il l’invoque, titulaire d’un visa de la République tchèque n’y change rien et il est par conséquent soumis aux dispositions de la LEtr.</w:t>
      </w:r>
    </w:p>
    <w:p>
      <w:r>
        <w:rPr>
          <w:b/>
        </w:rPr>
        <w:t>E. 4</w:t>
      </w:r>
    </w:p>
    <w:p>
      <w:r>
        <w:t>a) Le recourant se plaint de ce que la décision de l'autorité intimée n'est pas suffisamment motivée dès lors qu'elle n'indique pas précisément les dispositions légales sur lesquelles dite autorité s'est fondée, et qu'il n'a pas pu faire valoir ses moyens car celle-ci ne lui a pas demandé précisément ce dont elle avait besoin pour statuer en sa faveur. Ce faisant, le recourant se plaint implicitement de la violation de son droit d'être entendu. b)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(GE.2010.0117 du 10 janvier 2011). Il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 En l'espèce, il est vrai que la décision n'est pas très claire: elle n'indique pas les dispositions légales précises sur lesquelles elle se fonde (elle n'invoque que, d'une manière générale, la LEtr et l'OASA) et elle n'invoque pas précisément les motifs de son refus (elle invoque plusieurs motifs, dont certains ont trait aux conditions d'admission en vue de l'exercice d'une activité lucrative salariée [art. 18 LEtr] et d'autres aux conditions d'admission en vue de l'exercice d'une activité lucrative indépendante [art. 19 LEtr]). Toutefois, dans sa réponse dans le cadre de la présente procédure de recours, l'autorité intimée a précisé les motifs de son refus: c'est-à-dire qu'Y._______________ Sàrl n'a pas démontré qu'aucun travailleur correspondant au profil requis par le poste à pourvoir n'a pu être trouvé. En outre, le juge instructeur a, dans sa lette du 28 juin 2011 au recourant, attiré l'attention de celui-ci sur le fait qu'il ressortait du dossier que le motif principal du refus, par le SDE, de sa demande de prise d’emploi tenait au fait qu’Y._______________ Sàrl n’avait pas procédé à des recherches sur le marché local de l’emploi, dès lors que la demande de permis de séjour avec activité lucrative d’Y._______________ Sàrl tendant à l’engagement par celle-ci du recourant en qualité de directeur commercial devait être considérée comme l’engagement d’un travailleur salarié. Le juge instructeur a également précisé que c’était l’art. 21 LEtr qui s’appliquait. Ceci ajouté au fait que le recourant a eu la faculté de répliquer puis de déposer un mémoire complémentaire – dont il a fait usage – amène à considérer qu'une éventuelle violation du droit d'être entendu est réparée (cf. ATF 130 II 530 consid. 7.3 p. 562; 127 V 431 consid. 3d/aa pp. 437 ss; 126 V 130 consid. 2b pp. 131 ss et les arrêts cités) .</w:t>
      </w:r>
    </w:p>
    <w:p>
      <w:r>
        <w:rPr>
          <w:b/>
        </w:rPr>
        <w:t>E. 5</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b) Selon l’art. 21 al. 1 LEtr (intitulé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PE.2010.423 du 3 décembre 2010 consid. 3a; PE.2010.0154 du</w:t>
      </w:r>
    </w:p>
    <w:p>
      <w:r>
        <w:rPr>
          <w:b/>
        </w:rPr>
        <w:t>E. 9</w:t>
      </w:r>
    </w:p>
    <w:p>
      <w:r>
        <w:t>septembre 2010, consid. 3 et PE.2009.0235 du 31 août 2009, consid. 3 et les arrêts cités; cf. également à ce sujet le chiffre 4.3.2 des directives de l’Office fédéral des migrations [ODM], dans leur teneur au 1 er juillet 2010). c) En l’espèce, Y._______________ Sàrl n'a pas effectué les démarches requises pour tenter de recruter un travailleur indigène ou un ressortissant d’un pays de l’UE/AELE afin d'occuper le poste de directeur commercial. Le recourant le justifie en prétendant qu'il n'y avait de toute façon pas de demandeur d'emploi ayant ses qualifications sur le marché du travail. Or, ces considérations ne sauraient dispenser Y._______________ Sàrl de respecter les obligations que la loi lui impose en matière de priorité donnée aux travailleurs indigènes et aux ressortissants de l'UE/AELE (art. 21 al. 1 et 2 LEtr). Dans la mesure où elle ne l'a pas fait, c'est à juste titre que l’autorité intimée a refusé de délivrer une autorisation de séjour au recourant pour ce motif. d) Le recourant soutient qu'il dispose de qualifications particulières dans le domaine de la construction. e)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Les directives de l’ODM (ch. 4.2.4) précisent les critères qu’il convient d’observer notamment en matière de qualifications personnelles: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f) En l'occurrence, il est patent que le recourant, en qualité de directeur commercial d'une entreprise de construction, ne peut prétendre disposer de qualifications personnelles particulières au sens de l’art. 23 LEtr. 5.                Il ressort de ce qui précède que le recours doit être rejeté et la décision du 28 octobre 2010 du SDE confirmée. Cependant, au vu du manque de clarté de la décision attaquée (cf. consid. 4c ci-dessus) et dès lors que ce manque de clarté a, pour partie à tout le moins, rendu nécessaire le dépôt du recours objet du présent arrêt, les frais peuvent être laissés à la charge de l’Etat. Concernant les dépens, il n'en sera pas alloué, le recourant ayant fait appel à un mandataire professionnel à un stade de la procédure où les motifs de la décision du SDE avaient été éclaircis, tant par l'autorité intimée dans sa réponse que par le juge instructeur dans sa lettre du 28 juin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