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PE.2010.0578 vom 4. Februar 2011</w:t>
      </w:r>
    </w:p>
    <w:p>
      <w:r>
        <w:t>VD Tribunal cantonal, 2011-02-04, FR</w:t>
      </w:r>
    </w:p>
    <w:p>
      <w:r>
        <w:rPr>
          <w:b/>
        </w:rPr>
        <w:t xml:space="preserve">Quelle: </w:t>
      </w:r>
      <w:r>
        <w:t>https://mcp.opencaselaw.ch/entscheid/vd_omni_PE.2010.0578</w:t>
      </w:r>
    </w:p>
    <w:p>
      <w:r>
        <w:t>FR: VD_OMNI PE.2010.0578 du 4 février 2011</w:t>
      </w:r>
    </w:p>
    <w:p>
      <w:r>
        <w:t>IT: VD_OMNI PE.2010.0578 del 4 febbraio 2011</w:t>
      </w:r>
    </w:p>
    <w:p>
      <w:pPr>
        <w:pStyle w:val="Heading2"/>
      </w:pPr>
      <w:r>
        <w:t>Regeste</w:t>
      </w:r>
    </w:p>
    <w:p>
      <w:r>
        <w:t>X.__________ c/Service de la population (SPOP) | Confirmation du refus de délivrer une autorisation de séjour à un ressortissant albanais. Conformément aux art. 40 al. 2 LEtr et 83 OASA, le SPOP ne pouvait pas s'écarter de la décision du SDE rejetant la demande de prise d'emploi du recourant. Cas de rigueur au sens de l'art. 30 al. 1 let. b LEtr par ailleurs non réalisé: le recourant est célibataire, sans enfant, jeune (27 ans) et en bonne santé; de plus, toute sa famille proche se trouve dans son pays.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Le système prévu par les art. 40 al. 2 LEtr et 83 OASA est comparable à celui de l'art. 42 de l'ancienne ordonnance fédérale du 6 octobre 1986 limitant le nombre des étranger (OLE) qui a été remplacée le 1 er janvier 2008 par l'OASA, à savoir qu'est nécessaire une décision préalable de l'autorité compétente en matière d'emploi, avant que l'autorité compétente en matière d'étrangers ne délivre le titre requis. Il n'y a dès lors pas lieu de s'écarter de la pratique constante selon laquelle le SDE statue d'abord, le SPOP ensuite; on ne voit pas quelle serait l'utilité de cette procédure si le SPOP pouvait librement s'écarter de la décision préalable rendue eu égard au marché du travail, domaine dans lequel il n'est pas compétent (arrêts PE.2010.0085 du 30 avril 2010 et PE.2009.0423 du 23 février 2010 ainsi que les réf. cit.). b) En l'espèce, le SDE a rejeté la demande de prise d'emploi le 12 avril 2010. La CDAP, puis le Tribunal fédéral ont confirmé cette décision. Le SPOP ne pouvait donc s'en écarter. Le recourant ne le conteste pas vraiment. Il soutient en revanche qu'en raison de la durée de son séjour en Suisse, il se trouve dans une situation de détresse personnelle grave au sens de l'art. 30 al. 1 let. b LEtr, ce qu'il convient d'examiner ci-après.</w:t>
      </w:r>
    </w:p>
    <w:p>
      <w:r>
        <w:rPr>
          <w:b/>
        </w:rPr>
        <w:t>E. 3</w:t>
      </w:r>
    </w:p>
    <w:p>
      <w:r>
        <w:t>a) L'art. 30 al. 1 let. b LEtr a la teneur suivante: "Il est possible de déroger aux conditions d'admission (art. 18 à 29) dans les buts suivants: a. […] b. tenir compte des cas individuels d'une extrême gravité ou d'intérêts publics majeurs; […]" L'art. 31 al. 1 OASA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OLE abrogée le 1 er janvier 2008. On peut dès lors se référer à la jurisprudence y relative (Message du Conseil fédéral, FF 2002 III 3469, spéc. p. 3542; ég. arrêts PE.2008.0093 du 16 avril 2008; PE.2008.0367 du 30 juin 2009).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voir ég. ATAF 2007/16 consid. 5.4). c) En l'espèce, le recourant affirme séjourner et travailler en Suisse depuis janvier 2000. Il n'a produit aucune pièce, en particulier des fiches de salaire, permettant d'attester la durée et la continuité de son séjour en Suisse. Cette question peut toutefois demeurer ouverte: comme on l'a rappelé, les séjours illégaux ne sont pas pris en compte dans l'appréciation d'un cas de rigueur. Il convient dès lors d'examiner si d'autres éléments que la durée du séjour en Suisse pourraient rendre le retour du recourant dans son pays d'origine particulièrement ardu. A cet égard, on relève que l'intégration du recourant, si l'on fait abstraction de sa situation de clandestin (qui lui a valu une condamnation à une peine pécuniaire de 90 jours-amende à 50 fr., avec sursis pendant deux ans, ainsi qu'à une amende de 1'000 fr. prononcée le 23 août 2010 par le Tribunal de police de l'arrondissement de la Côte), apparaît plutôt bonne. Il maîtrise en effet la langue française, jouit d'une situation financière saine et a apparement toujours travaillé depuis son entrée en Suisse. Aucun élément du dossier ne permet toutefois de retenir que cette intégration serait à ce point exceptionnelle que l'on ne pourrait raisonnablement exiger du recourant un retour dans son pays. Le recourant n'a en effet pas développé en Suisse des qualifications ou des connaissances si spécifiques qu'il ne pourrait les mettre en pratique dans son pays d'origine. A cela s'ajoute que l'intéressé est célibataire, sans enfants, jeune (27 ans) et en bonne santé. Un retour dans son pays, où se trouve toute sa famille proche (ses parents et ses trois soeurs) et où il a vécu au moins jusqu'à l'âge de 17 ans, ne saurait dès lors représenter pour lui un véritable déracinement. Il est certes probable qu'il se trouvera, de retour au pays, dans une situation économique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Ces éléments permettent d'exclure que la situation du recourant constitue un cas personnel d'extrême gravité.</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