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PE.2010.0562 vom 22. Februar 2011</w:t>
      </w:r>
    </w:p>
    <w:p>
      <w:r>
        <w:t>VD Tribunal cantonal, 2011-02-22, FR</w:t>
      </w:r>
    </w:p>
    <w:p>
      <w:r>
        <w:rPr>
          <w:b/>
        </w:rPr>
        <w:t xml:space="preserve">Quelle: </w:t>
      </w:r>
      <w:r>
        <w:t>https://mcp.opencaselaw.ch/entscheid/vd_omni_PE.2010.0562</w:t>
      </w:r>
    </w:p>
    <w:p>
      <w:r>
        <w:t>FR: VD_OMNI PE.2010.0562 du 22 février 2011</w:t>
      </w:r>
    </w:p>
    <w:p>
      <w:r>
        <w:t>IT: VD_OMNI PE.2010.0562 del 22 febbraio 2011</w:t>
      </w:r>
    </w:p>
    <w:p>
      <w:pPr>
        <w:pStyle w:val="Heading2"/>
      </w:pPr>
      <w:r>
        <w:t>Regeste</w:t>
      </w:r>
    </w:p>
    <w:p>
      <w:r>
        <w:t>X.________/Service de la population (SPOP) | Couple de concubins (lui Italien, elle Chinoise), qui se connaissent depuis quatre ans, n'ont pas de projets de mariage ni d'enfants, et ont vécu occasionnellement ensemble pendant une durée totale de dix-huit mois. Pas de droit à l'autorisation de séjour au regard de l'art. 8 CEDH. Pas de cas de rigueur.</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de nationalité chinoise, ne peut se prévaloir d’un traité lui conférant un droit au séjour en Suisse. Sa situation s’examine partant au seul regard du droit interne, soit en l’occurrence la loi fédérale du 16 décembre 2005 sur les étrangers (LEtr; RS 142.20) et ses dispositions d’application.</w:t>
      </w:r>
    </w:p>
    <w:p>
      <w:r>
        <w:rPr>
          <w:b/>
        </w:rPr>
        <w:t>E. 2</w:t>
      </w:r>
    </w:p>
    <w:p>
      <w:r>
        <w:t>a)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135 I 143 consid. 1.3.1 p. 145/146; 129 II 193 consid. 5.3.1 p. 211). Les relations familiales qui peuvent fonder, en vertu de l'art. 8 par. 1 CEDH, un droit à une autorisation de police des étrangers sont avant tout les rapports entre époux ainsi qu'entre parents et enfants mineurs vivant ensemble ( ATF 135 I 143 consid. 1.3.2 p. 146;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en dernier lieu, ATF 2C_913/2010 du 30 novembre 2010, consid. 2; 2C_97/2010 du 4 novembre 2010, consid. 3.1, et les arrêts et références cités). Il faut que les relations entre les concubins puissent, par leur nature et leur stabilité, être assimilées à une véritable union conjugale pour bénéficier de la protection de l’art. 8 par. 1 CEDH; à cet égard, une cohabitation d'une année et demie n'est pas suffisante (ATF 2C_913/2010, précité, et les références citées). b) Les art. 30 al. 1 let. b LEtr et 31 de l’ordonnance fédérale du 24 octobre 2007 relative à l’admission, au séjour et à l’exercice d’une activité lucrative (OASA; RS 142.201), relatifs aux cas d’extrême gravité, permettent d'accorder une autorisation de séjour au concubin d'un ressortissant suisse ou d'un étranger résidant en Suisse. Les conditions en sont précisées par les directives de l’Office fédéral des migrations (Directives ODM, dans leur état du 1 juillet 2009, ch. 5.6.2.2.1), de la manière suivante: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 l n'existe aucune violation de l'ordre public (par analogie avec l'art. 51, en relation avec l’art. 62 LEtr); • le couple concubin vit ensemble en Suisse." c) La recourante a vécu maritalement avec Y.________ en Chine, de janvier 2007 à septembre 2008, soit pendant un an et huit mois. De septembre 2008 à mars 2010, soit pendant dix-huit mois, ils ont vécu séparément, se voyant occasionnellement. Ils vivent ensemble depuis mars 2010, au 1******. Ils n’ont pas de projet de mariage, ni d’enfant. Même si la recourante connaît Y.________ depuis quatre ans, leur vie commune a connu une éclipse assez longue, qui ne dénote pas une relation stable et durable. L’écart d’âge, le défaut de perspective de mariage et d’enfants, ne présagent pas d’une véritable union conjugale au sens de la jurisprudence qui vient d’être rappelé. d) La solution retenue par le SPOP ne relève pas d’un abus ou d’un mésusage du pouvoir d’appréciation qui lui est réservé dans ce domaine.</w:t>
      </w:r>
    </w:p>
    <w:p>
      <w:r>
        <w:rPr>
          <w:b/>
        </w:rPr>
        <w:t>E. 3</w:t>
      </w:r>
    </w:p>
    <w:p>
      <w:r>
        <w:t>Le recours doit ainsi être rejeté, et la décision attaquée confirmée. Les frais sont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