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PE.2010.0555 vom 23. Dezember 2010</w:t>
      </w:r>
    </w:p>
    <w:p>
      <w:r>
        <w:t>VD Tribunal cantonal, 2010-12-23, FR</w:t>
      </w:r>
    </w:p>
    <w:p>
      <w:r>
        <w:rPr>
          <w:b/>
        </w:rPr>
        <w:t xml:space="preserve">Quelle: </w:t>
      </w:r>
      <w:r>
        <w:t>https://mcp.opencaselaw.ch/entscheid/vd_omni_PE.2010.0555</w:t>
      </w:r>
    </w:p>
    <w:p>
      <w:r>
        <w:t>FR: VD_OMNI PE.2010.0555 du 23 décembre 2010</w:t>
      </w:r>
    </w:p>
    <w:p>
      <w:r>
        <w:t>IT: VD_OMNI PE.2010.0555 del 23 dicembre 2010</w:t>
      </w:r>
    </w:p>
    <w:p>
      <w:pPr>
        <w:pStyle w:val="Heading2"/>
      </w:pPr>
      <w:r>
        <w:t>Regeste</w:t>
      </w:r>
    </w:p>
    <w:p>
      <w:r>
        <w:t>A. X.________ Y.________, B. Z.________ C.________ c/Service de la population (SPOP) | Confirmation d'un refus d'autorisation de séjour en vue de mariage. Au moment du jugement, plus d'un an après le début des démarches auprès de l'état-civil, tous les documents requis n'ont pas encore été réunis et ne paraissent pas sur le point de l'être (les recourants demandent un délai supplémentaire de deux à trois mois pour produire des pièces). Dans ces conditions, on ne peut pas considérer que le mariage aura lieu dans un délai "raisonnable".</w:t>
      </w:r>
    </w:p>
    <w:p>
      <w:pPr>
        <w:pStyle w:val="Heading2"/>
      </w:pPr>
      <w:r>
        <w:t>Erwägungen</w:t>
      </w:r>
    </w:p>
    <w:p>
      <w:r>
        <w:rPr>
          <w:b/>
        </w:rPr>
        <w:t>E. 1</w:t>
      </w:r>
    </w:p>
    <w:p>
      <w:r>
        <w:t>a) Pour entrer en Suisse, tout étranger doit: (a) avoir une pièce de légitimation reconnue pour le passage de la frontière et être muni d’un visa si ce dernier est requis; (b) disposer des moyens financiers nécessaires à son séjour; (c) ne représenter aucune menace pour la sécurité et l’ordre publics ni pour les relations internationales de la Suisse; (d) ne faire l’objet d’aucune mesure d’éloignement (art. 5 al. 1 de la loi fédérale du 16 décembre 2005 sur les étrangers [LEtr; RS 142.20]). Tout étranger peut séjourner en Suisse sans exercer d’activité lucrative pendant trois mois sans autorisation, sauf si la durée fixée dans le visa est plus courte (art. 10 LEtr). L’étranger qui prévoit un séjour plus long sans activité lucrative doit être titulaire d’une autorisation. Il doit la solliciter avant son entrée en Suisse auprès de l’autorité compétente du lieu de résidence envisagé (ibid., al. 2). Pour l’entrée en vue d’un séjour en Suisse d’une durée supérieure à trois mois, un visa national est nécessaire (art. 4 al. 3 et art. 5 al. 3 a contrario de l’ordonnance du 22 octobre 2008 sur l’entrée et l’octroi de visas [OEV; RS 124.204], applicable aux ressortissant brésiliens, la Suisse n’ayant pas d’accord bilatéral en la matière avec le Brésil [v. Directives de l'Office fédéral des migrations (ODM) en matière d'octroi de visa, Annexe 1, liste 1: Prescriptions en matière de documents de voyage et de visas selon la nationalité]). b) En l'occurrence, la recourante a déclaré être entrée en Suisse le 28 septembre 2009 en vue de s'y marier avec le recourant. Dans la mesure où un séjour de plus de trois mois était ainsi d'emblée prévisible, il était soumis à autorisation (Directives précitées, ch. 213.231) et aurait dû faire l'objet d'une demande de visa auprès de la représentation suisse à l'étranger compétente. C'est ainsi à juste titre que l'autorité intimée a constaté que la recourante était entrée et séjournait en Suisse illégalement. c) Selon l'art. 17 al. 1 LEtr, l'étranger entré légalement en Suisse pour un séjour temporaire qui dépose ultérieurement une demande d'autorisation de séjour durable doit attendre la décision à l'étranger. A fortiori en va-t-il de même pour celui qui, comme la recourante, est entré illégalement. Selon l'art. 6 al. 2 de l'ordonnance du 24 octobre 2007 relative à l'admission, au séjour et à l'exercice d'une activité lucrative (OASA; RS 142.201), des démarches telles que l'engagement d'une procédure matrimoniale ou familiale, ne confèrent à elles seules aucun droit lors de la procédure d'autorisation. Dépourvue d'autorisation alors qu'elle y était tenue, la recourante pouvait ainsi être renvoyée de Suisse sans décision formelle (art. 64 al. 1 let. a LEtr). On ne peut dès lors que s'étonner que l'autorité intimée ait toléré sa présence durant près d'une année, sachant de surcroît qu'elle faisait l'objet d'une interdiction d'entrer en Suisse.</w:t>
      </w:r>
    </w:p>
    <w:p>
      <w:r>
        <w:rPr>
          <w:b/>
        </w:rPr>
        <w:t>E. 2</w:t>
      </w:r>
    </w:p>
    <w:p>
      <w:r>
        <w:t>a) En principe, un étranger n'a pas droit à l'autorisation de séjour, à moins que ne puisse être invoquée une disposition particulière du droit fédéral ou d'un traité accordant le droit à la délivrance d'une telle autorisation ( ATF 131 II 339 consid. 1 p. 342). Un étranger peut toutefois, selon les circonstances, se prévaloir de l'art. 8 § 1 de la Convention du 4 novembre 1950 de sauvegarde des droits de l’homme et des libertés fondamentales (CEDH; RS 01.101) pour s'opposer à l'éventuelle séparation de sa famille et obtenir ainsi une autorisation de séjour. Encore faut-il, pour pouvoir invoquer cette disposition, que la relation entre l'étranger et une personne de sa famille ayant le droit de résider durablement en Suisse soit étroite et effective ( ATF 130 II 281 consid. 3.1 p. 285; 129 II 193 consid. 5.3.1 p. 211). D'après la jurisprudence, les relations familiales qui peuvent fonder, en vertu de cette disposition, un droit à une autorisation de police des étrangers sont avant tout les rapports entre époux ainsi qu'entre parents et enfants mineurs vivant ensemble ( ATF 120 Ib 257 consid. 1d p. 261). Sous réserve de circonstances particulières, les fiancés ou les concubins ne sont pas habilités à invoquer l'art. 8 CEDH; ainsi, l'étranger fiancé à une personne ayant le droit de s'établir en Suisse ne peut, en principe, pas prétendre à une autorisation de séjour, à moins que le couple n'entretienne depuis longtemps des relations étroites et effectivement vécues et qu'il n'existe des indices concrets d'un mariage sérieusement voulu et imminent (ATF 2C_733/2008 du 12 mars 2009 consid. 5.1; 2C_706/2008 du 13 octobre 2008, consid. 2.2; 2C_90/2007 du 27 août 2007, consid. 4.1; 2A.362/2002 du 4 octobre 2002, consid. 2.2 et 2A.274/1996 du 7 novembre 1996, consid. 1b). Parmi les indices concrets d'un mariage sérieusement voulu et imminent, le Tribunal fédéral mentionnait la publication des bans du mariage. Cette publication ne peut toutefois plus être évoquée, dès lors qu'elle a été supprimée depuis le 1 er janvier 2000 (voir m odification du CC du 26 juin 1998 , RO 1999 1118). Constitue en revanche un indice au sens précité, l'état d'avancement de la "procédure préparatoire" ayant remplacé la publication (art. 97 ss CC), qui comporte notamment la demande en exécution de la procédure préparatoire présentée par les fiancés auprès de l’office de l’état civil, la production des documents nécessaires et la comparution personnelle des fiancés (arrêts PE.2010.0187 du 29 septembre 2010 consid. 2a; PE.2010.0294 du 19 août 2010 consid. 2a). b) L'art. 30 al. 1 let. b LEtr - en relation avec l'art. 31 OASA - prévoit qu'il est possible de déroger aux conditions d'admission (art. 18 à 29) dans le but de tenir compte des cas individuels d'extrême gravité. Cette disposition permet en particulier de délivrer une autorisation de séjour en vue de mariage, aux conditions indiquées aux paragraphes qui précèdent (voir aussi directives de l'Office fédéral des migrations [ODM] intitulées "I. Domaine des étrangers", dans leur version au 1 er juillet 2009, ch. 5.6.2.2.3 qui mentionnent notamment que le mariage doit avoir lieu dans un délai "raisonnable"). c) En l'espèce, la recourante et son fiancé ont entrepris les démarches en vue de leur mariage le 2 octobre 2009, soit il y a plus d'un an. A ce jour, tous les documents requis n'ont pas encore été réunis et ne paraissent pas sur le point de l'être, puisque les recourants demandent un délai supplémentaire de deux à trois mois pour produire des pièces. Que la procédure de reconnaissance du jugement de divorce suisse du recourant au Portugal prenne du temps, ne change rien au fait que la procédure préparatoire de mariage n'est toujours pas close. Dans ces conditions, on ne peut pas considérer que le mariage aura lieu dans un délai "raisonnable". Les exigences pour qu'une autorisation de séjour en vue de mariage puisse être délivrée ne sont pas remplies.</w:t>
      </w:r>
    </w:p>
    <w:p>
      <w:r>
        <w:rPr>
          <w:b/>
        </w:rPr>
        <w:t>E. 3</w:t>
      </w:r>
    </w:p>
    <w:p>
      <w:r>
        <w:t>Aucun motif d'équité n'exigeant de laisser tout ou partie des frais à la charge de l'Etat, un émolument de justice sera mis à la charge des recourants déboutés, conformément aux art. 45 et 49 al. 1 LPA-VD. A cet égard, on rappellera que la dispense d'avance de frais n'emporte pas la gratuité de la procédure. Le droit constitutionnel à l'assistance judiciaire gratuite (art. 29 al. 3 Cst.) n'implique nullement une exonération définitive; il n'exclut pas une condamnation aux frais et dépens (ATF 135 I 91 consid. 2.4.2.3 p. 97; 97 I 629 consid. 4 p. 631).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