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PE.2010.0512 vom 17. Februar 2011</w:t>
      </w:r>
    </w:p>
    <w:p>
      <w:r>
        <w:t>VD Tribunal cantonal, 2011-02-17, FR</w:t>
      </w:r>
    </w:p>
    <w:p>
      <w:r>
        <w:rPr>
          <w:b/>
        </w:rPr>
        <w:t xml:space="preserve">Quelle: </w:t>
      </w:r>
      <w:r>
        <w:t>https://mcp.opencaselaw.ch/entscheid/vd_omni_PE.2010.0512</w:t>
      </w:r>
    </w:p>
    <w:p>
      <w:r>
        <w:t>FR: VD_OMNI PE.2010.0512 du 17 février 2011</w:t>
      </w:r>
    </w:p>
    <w:p>
      <w:r>
        <w:t>IT: VD_OMNI PE.2010.0512 del 17 febbraio 2011</w:t>
      </w:r>
    </w:p>
    <w:p>
      <w:pPr>
        <w:pStyle w:val="Heading2"/>
      </w:pPr>
      <w:r>
        <w:t>Regeste</w:t>
      </w:r>
    </w:p>
    <w:p>
      <w:r>
        <w:t>X.___________, Y.___________, Z.___________, A.___________/Service de la population (SPOP) | Ressortissante bolivienne entrée en Suisse sans autorisation, selon ses dires, en 2002 puis rejointe par ses enfants, nés en 1994 et en 2001, et leur père, également sans autorisation, en 2006. Examen du cas de rigueur sous l'angle du parcours scolaire de l'aînée, scolarisée depuis le mois d'août 2006. Dès lors que cette dernière va terminer sa scolarité en VSO en juin 2011 et entend, selon les explications fournies par son conseil, s'orienter vers un apprentissage, il n'y a pas lieu de délivrer une autorisation aux membres de la famille afin qu'elle puisse poursuivre ses études. Le recours doit en revanche être partiellement admis afin que les enfants puissent terminer l'année scolaire en cours.</w:t>
      </w:r>
    </w:p>
    <w:p>
      <w:pPr>
        <w:pStyle w:val="Heading2"/>
      </w:pPr>
      <w:r>
        <w:t>Erwägungen</w:t>
      </w:r>
    </w:p>
    <w:p>
      <w:r>
        <w:rPr>
          <w:b/>
        </w:rPr>
        <w:t>E. 1</w:t>
      </w:r>
    </w:p>
    <w:p>
      <w:r>
        <w:t>Les recourants ne peuvent se prévaloir d'aucune disposition du droit interne ou d'une convention internationale leur octroyant un droit de séjour en Suisse. Ils ont formulé une demande de permis de séjour pour motifs d’extrême gravité au sens de l’art. 30 al. 1 let. b de la loi fédérale du 16 décembre 2005 sur les étrangers (LEtr; RS 142.20) et l’art. 31 de l’ordonnance fédérale du 24 octobre 2007 relative à l’admission, au séjour et à l’exercice d’une activité lucrative (OASA; RS 142.201). 2.                a) L’art. 30 al. 1 let. b LEtr dispose qu’il est possible de déroger aux conditions d’admission notamment dans le but de tenir compte des cas individuels d’une extrême gravité. L’art. 31 al. 1 OASA  précise que lors de l’appréciation du cas, il y a lieu de tenir compte notamment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et des possibilités de réintégration dans l’Etat de provenance (g). Cette disposition s’apparente à l’art. 13 let. f de l’ancienne ordonnance du 6 octobre 1986 limitant le nombre d’étrangers (OLE), abrogée dès le 1 er janvier 2008, qui prévoyait que n’étaient pas comptés dans les nombres maximums les étrangers qui obtenaient une autorisation de séjour dans un cas personnel d’extrême gravité ou en raison de considérations politique générale (PE.2009.0405 du 20 octobre 2009 consid. 3a), de sorte que la jurisprudence rendue en application de cet article peut être reprise par analogie (cf. message du 8 mars 2002 concernant la loi sur les étrangers, FF 2002 3469 [3543]). Selon la jurisprudence relative aux art. 13 f 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Le Tribunal fédéral a précisé que les séjours illégaux en Suisse ne sont en principe pas pris en compte dans l’examen du cas de rigueur. Ainsi,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ses relations familiales en Suisse et dans sa patrie, sur son état de santé, sur sa situation professionnelle, sur son intégration sociale, etc. (ATF  130 II 39 consid. 3 p. 42). Dans ce même arrêt, le Tribunal fédéral rappelé que le cas de rigueur n'est pas destiné au premier chef à régulariser la situation d'étrangers vivant clandestinement en Suisse, mais à permettre à tout étranger entré ou vivant déjà en Suisse d'obtenir un statut légal pour y poursuivre son séjour au cas où son départ de ce pays pouvait créer un cas personnel d'extrême gravité. Dès lors, il n'est pas contradictoire d'examiner la situation d'un étranger sous l'angle de l'art. 30 al. 1 let. b LEtr et de tenir compte à cette occasion d'infractions aux prescriptions de police des étrangers, sans toutefois exagérer l'importance de telles infractions inhérentes à la condition de travailleur clandestin (ATF 130 II 39 précité, consid. 5.2). Finalement, il y a lieu de relever que, selon la jurisprudence du Tribunal fédéral, l’octroi d’un permis humanitaire n'a pas pour but de soustraire le requérant aux conditions de vie de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 ATF 123 II 125 consid. 5b p. 133). b) Sous l’angle de l’art. 13 f OLE, le Tribunal fédéral avait constaté que la situation des enfants pouvait,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Ainsi, le Tribunal fédéral a refusé de voir une situation d’extrême gravité dans le cas d’un enfant de neuf ans arrivé en Suisse à quatre ans et achevant la deuxième années d’école primaire ; il est arrivé à la même conclusion dans le cas d’un enfant de neuf ans arrivé en Suisse à quatre ans et fréquentant la troisième année de l’école primaire (cf. ATF 123 II 125 consid. 4).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complément différent peut constituer un cas personnel d’extrême gravité ; encore faut-il cependant que la scolarité ait revêtu, dans le cas de l’intéressé, une certaine durée, ait atteint un certain niveau et se soit soldée par un résultat positif (ATF 123 II. 125 précité consid. 4).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 venu en Suisse à douze ans, le fils aîné de seize ans avait, après des difficultés initiales, surmonté les obstacles linguistiques, s’était bien adapté au système scolaire suisse et avait achevé la neuvième année d’école primaire ;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ATF 123 II. 125 précité consid. 4 et références). 3.                a) En l’espèce, il résulte de la jurisprudence précitée que la durée du séjour illégal des recourants en Suisse et le fait qu’ils soient apparemment relativement bien intégrés, qu’ils soient indépendant financièrement et qu’ils n’aient pas de dettes ne sauraient à eux seuls justifier la reconnaissance d’un cas individuel d’une extrême gravité au sens de l’art. 30 al. 1 let. b LEtr. b) Pour ce qui est des enfants, on relève que Z.________ est scolarisée depuis le mois d’août 2006, soit l’âge de onze ans et demi, et qu’elle est actuellement en dernière année de sa scolarité obligatoire. Il résulte de l’attestation établie par le directeur de l’Etablissement secondaire B.________ qu’elle est arrivée au sein de l’établissement au cycle de transition en intégrant un groupe d’accueil et qu’après seulement une année dans cette structure, elle a été orientée en voie secondaire générale. Au terme de sa huitième année, elle a été réorientée en voie secondaire à options (VSO). Selon le directeur de l’établissement, son parcours scolaire s’est déroulé de manière exemplaire et tant ses professeurs que ses camarades de classe ont apprécié son caractère, sa volonté et son excellente intégration tout au long de sa scolarité. Selon l’attestation du directeur, elle souhaite s’inscrire en classe de raccordement à la fin de l’année scolaire, ce qui devrait être possible compte tenu de ses résultats. S’agissant des projets de Z.________, il résulte toutefois des explications fournies par le conseil de la famille (cf. lettre adressée au SPOP le 9 août 2010 et mémoire de recours du 15 octobre 2010) que cette dernière s’orienterait plutôt vers un apprentissage à la fin de son école obligatoire. On relève que Z.________ a été scolarisée en Suisse durant la période correspondant à son adolescence, ce qui doit avoir contribué de manière décisive à son intégration (cf. ATF 125 II 125 précité). On constate toutefois que, en l’état, ses résultats scolaires ne sauraient être considérés comme particulièrement remarquables puisqu’elle va finir sa scolarité obligatoire dans la voie VSO, qui mène normalement plutôt à l’apprentissage. A condition que celui-ci s’effectue après la fin de l’année scolaire en cours, on ne saurait ainsi considérer que le renvoi de Suisse de Z.________ l’empêchera de poursuivre des études qui seraient la suite logique de sa scolarité. En outre, on peut partir de l’idée qu’elle devrait être en mesure d’effectuer une formation professionnelle dans son pays d’origine. Pour le surplus, dès lors que l’enfant A.________ est âgé de moins de dix ans, la poursuite de sa scolarité en Bolivie ne devrait pas soulever de problème particulier. 4.                Vu ce qui précède, la décision attaquée doit être réformée de manière à ce que les deux enfants puissent terminer l’année scolaire en cours. Il convient par conséquent d’octroyer à tous les membres de la famille une prolongation de leur autorisation de séjour jusqu’au 31 août 2011. Il appartiendra en outre au SPOP de fixer un nouveau délai de départ. Dans cette mesure, le recours est partiellement admis. Vu le sort du recours, ce dernier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